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06" w:rsidRDefault="00FD5E06">
      <w:pPr>
        <w:tabs>
          <w:tab w:val="left" w:pos="4111"/>
        </w:tabs>
        <w:rPr>
          <w:rFonts w:ascii="Book Antiqua" w:hAnsi="Book Antiqua"/>
          <w:b/>
          <w:shadow/>
          <w:color w:val="0000FF"/>
          <w:sz w:val="24"/>
          <w:lang w:val="en-US"/>
        </w:rPr>
      </w:pPr>
      <w:r>
        <w:rPr>
          <w:rFonts w:ascii="Book Antiqua" w:hAnsi="Book Antiqua"/>
          <w:b/>
          <w:shadow/>
          <w:color w:val="0000FF"/>
          <w:sz w:val="24"/>
          <w:lang w:val="en-US"/>
        </w:rPr>
        <w:t xml:space="preserve">Масолова Елена, школа 1257. </w:t>
      </w:r>
    </w:p>
    <w:p w:rsidR="00FD5E06" w:rsidRDefault="00FD5E06">
      <w:pPr>
        <w:jc w:val="center"/>
        <w:rPr>
          <w:rFonts w:ascii="Book Antiqua" w:hAnsi="Book Antiqua"/>
          <w:b/>
          <w:shadow/>
          <w:color w:val="0000FF"/>
          <w:sz w:val="48"/>
        </w:rPr>
      </w:pPr>
      <w:r>
        <w:rPr>
          <w:rFonts w:ascii="Book Antiqua" w:hAnsi="Book Antiqua"/>
          <w:b/>
          <w:shadow/>
          <w:color w:val="0000FF"/>
          <w:sz w:val="48"/>
        </w:rPr>
        <w:t>Оглавление.</w:t>
      </w:r>
    </w:p>
    <w:p w:rsidR="00FD5E06" w:rsidRDefault="00FD5E06">
      <w:pPr>
        <w:jc w:val="center"/>
        <w:rPr>
          <w:rFonts w:ascii="Book Antiqua" w:hAnsi="Book Antiqua"/>
          <w:b/>
          <w:shadow/>
          <w:color w:val="0000FF"/>
          <w:sz w:val="48"/>
        </w:rPr>
      </w:pPr>
    </w:p>
    <w:p w:rsidR="00FD5E06" w:rsidRDefault="00FD5E06">
      <w:pPr>
        <w:numPr>
          <w:ilvl w:val="0"/>
          <w:numId w:val="12"/>
        </w:num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Оглавление</w:t>
      </w:r>
      <w:r>
        <w:rPr>
          <w:rFonts w:ascii="Book Antiqua" w:hAnsi="Book Antiqua"/>
          <w:sz w:val="32"/>
        </w:rPr>
        <w:t xml:space="preserve">                                                       стр. 1</w:t>
      </w:r>
    </w:p>
    <w:p w:rsidR="00FD5E06" w:rsidRDefault="00FD5E06">
      <w:pPr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sz w:val="32"/>
        </w:rPr>
        <w:t xml:space="preserve"> </w:t>
      </w:r>
    </w:p>
    <w:p w:rsidR="00FD5E06" w:rsidRDefault="00FD5E06">
      <w:pPr>
        <w:numPr>
          <w:ilvl w:val="0"/>
          <w:numId w:val="3"/>
        </w:numPr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t xml:space="preserve">Введение. </w:t>
      </w:r>
      <w:r>
        <w:rPr>
          <w:rFonts w:ascii="Book Antiqua" w:hAnsi="Book Antiqua"/>
          <w:sz w:val="32"/>
        </w:rPr>
        <w:t xml:space="preserve">                                                          </w:t>
      </w:r>
    </w:p>
    <w:p w:rsidR="00FD5E06" w:rsidRDefault="00FD5E06">
      <w:pPr>
        <w:numPr>
          <w:ilvl w:val="0"/>
          <w:numId w:val="3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>Значение зелёных насаждений.</w:t>
      </w:r>
      <w:r>
        <w:rPr>
          <w:rFonts w:ascii="Book Antiqua" w:hAnsi="Book Antiqua"/>
          <w:sz w:val="32"/>
        </w:rPr>
        <w:t xml:space="preserve">                      стр. </w:t>
      </w:r>
      <w:r>
        <w:rPr>
          <w:rFonts w:ascii="Book Antiqua" w:hAnsi="Book Antiqua"/>
          <w:sz w:val="32"/>
          <w:lang w:val="en-US"/>
        </w:rPr>
        <w:t>2-4</w:t>
      </w:r>
    </w:p>
    <w:p w:rsidR="00FD5E06" w:rsidRDefault="00FD5E06">
      <w:pPr>
        <w:rPr>
          <w:rFonts w:ascii="Book Antiqua" w:hAnsi="Book Antiqua"/>
          <w:sz w:val="32"/>
        </w:rPr>
      </w:pPr>
    </w:p>
    <w:p w:rsidR="00FD5E06" w:rsidRDefault="00FD5E06">
      <w:pPr>
        <w:numPr>
          <w:ilvl w:val="0"/>
          <w:numId w:val="3"/>
        </w:numPr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t>Теоретическая часть.</w:t>
      </w:r>
      <w:r>
        <w:rPr>
          <w:rFonts w:ascii="Book Antiqua" w:hAnsi="Book Antiqua"/>
          <w:sz w:val="32"/>
        </w:rPr>
        <w:t xml:space="preserve">                                     </w:t>
      </w:r>
    </w:p>
    <w:p w:rsidR="00FD5E06" w:rsidRDefault="00FD5E06">
      <w:pPr>
        <w:numPr>
          <w:ilvl w:val="0"/>
          <w:numId w:val="11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>Факторы, влияющие на состояние</w:t>
      </w:r>
    </w:p>
    <w:p w:rsidR="00FD5E06" w:rsidRDefault="00FD5E06">
      <w:pPr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b/>
          <w:i/>
          <w:sz w:val="32"/>
        </w:rPr>
        <w:t xml:space="preserve">     зелёных насаждений.</w:t>
      </w:r>
      <w:r>
        <w:rPr>
          <w:rFonts w:ascii="Book Antiqua" w:hAnsi="Book Antiqua"/>
          <w:sz w:val="32"/>
        </w:rPr>
        <w:t xml:space="preserve">                                       стр. 4-6</w:t>
      </w:r>
    </w:p>
    <w:p w:rsidR="00FD5E06" w:rsidRDefault="00FD5E06">
      <w:pPr>
        <w:numPr>
          <w:ilvl w:val="0"/>
          <w:numId w:val="13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>Состояние городских насаждений</w:t>
      </w:r>
    </w:p>
    <w:p w:rsidR="00FD5E06" w:rsidRDefault="00FD5E06">
      <w:pPr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b/>
          <w:i/>
          <w:sz w:val="32"/>
        </w:rPr>
        <w:t xml:space="preserve">    (по данным мониторинга 1997 г.)</w:t>
      </w:r>
      <w:r>
        <w:rPr>
          <w:rFonts w:ascii="Book Antiqua" w:hAnsi="Book Antiqua"/>
          <w:sz w:val="32"/>
        </w:rPr>
        <w:t xml:space="preserve">                 стр. 6</w:t>
      </w:r>
      <w:r>
        <w:rPr>
          <w:rFonts w:ascii="Book Antiqua" w:hAnsi="Book Antiqua"/>
          <w:sz w:val="32"/>
          <w:lang w:val="en-US"/>
        </w:rPr>
        <w:t>-7</w:t>
      </w:r>
    </w:p>
    <w:p w:rsidR="00FD5E06" w:rsidRDefault="00FD5E06">
      <w:pPr>
        <w:numPr>
          <w:ilvl w:val="0"/>
          <w:numId w:val="14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 xml:space="preserve">Видовой состав деревьев и доля </w:t>
      </w:r>
    </w:p>
    <w:p w:rsidR="00FD5E06" w:rsidRDefault="00FD5E06">
      <w:p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 xml:space="preserve">    участия каждого вида в зелёных</w:t>
      </w:r>
    </w:p>
    <w:p w:rsidR="00FD5E06" w:rsidRDefault="00FD5E06">
      <w:pPr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b/>
          <w:i/>
          <w:sz w:val="32"/>
        </w:rPr>
        <w:t xml:space="preserve">    насаждениях города.                                        </w:t>
      </w:r>
      <w:r>
        <w:rPr>
          <w:rFonts w:ascii="Book Antiqua" w:hAnsi="Book Antiqua"/>
          <w:sz w:val="32"/>
        </w:rPr>
        <w:t>стр. 7</w:t>
      </w:r>
      <w:r>
        <w:rPr>
          <w:rFonts w:ascii="Book Antiqua" w:hAnsi="Book Antiqua"/>
          <w:sz w:val="32"/>
          <w:lang w:val="en-US"/>
        </w:rPr>
        <w:t>-8</w:t>
      </w:r>
    </w:p>
    <w:p w:rsidR="00FD5E06" w:rsidRDefault="00FD5E06">
      <w:pPr>
        <w:numPr>
          <w:ilvl w:val="0"/>
          <w:numId w:val="15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 xml:space="preserve">Возрастная структура зелёных </w:t>
      </w:r>
    </w:p>
    <w:p w:rsidR="00FD5E06" w:rsidRDefault="00FD5E06">
      <w:p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 xml:space="preserve">    насаждений в зависимости от их </w:t>
      </w:r>
    </w:p>
    <w:p w:rsidR="00FD5E06" w:rsidRDefault="00FD5E06">
      <w:pPr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b/>
          <w:i/>
          <w:sz w:val="32"/>
        </w:rPr>
        <w:t xml:space="preserve">    местоположения в городе.                             </w:t>
      </w:r>
      <w:r>
        <w:rPr>
          <w:rFonts w:ascii="Book Antiqua" w:hAnsi="Book Antiqua"/>
          <w:sz w:val="32"/>
        </w:rPr>
        <w:t>стр. 8</w:t>
      </w:r>
      <w:r>
        <w:rPr>
          <w:rFonts w:ascii="Book Antiqua" w:hAnsi="Book Antiqua"/>
          <w:sz w:val="32"/>
          <w:lang w:val="en-US"/>
        </w:rPr>
        <w:t>-10</w:t>
      </w:r>
    </w:p>
    <w:p w:rsidR="00FD5E06" w:rsidRDefault="00FD5E06">
      <w:pPr>
        <w:numPr>
          <w:ilvl w:val="0"/>
          <w:numId w:val="16"/>
        </w:numPr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 xml:space="preserve">Состояние зелёных насаждений </w:t>
      </w:r>
    </w:p>
    <w:p w:rsidR="00FD5E06" w:rsidRDefault="00FD5E06">
      <w:pPr>
        <w:rPr>
          <w:rFonts w:ascii="Book Antiqua" w:hAnsi="Book Antiqua"/>
          <w:b/>
          <w:i/>
          <w:sz w:val="32"/>
          <w:lang w:val="en-US"/>
        </w:rPr>
      </w:pPr>
      <w:r>
        <w:rPr>
          <w:rFonts w:ascii="Book Antiqua" w:hAnsi="Book Antiqua"/>
          <w:b/>
          <w:i/>
          <w:sz w:val="32"/>
        </w:rPr>
        <w:t xml:space="preserve">    по биофизическим показателям.</w:t>
      </w:r>
      <w:r>
        <w:rPr>
          <w:rFonts w:ascii="Book Antiqua" w:hAnsi="Book Antiqua"/>
          <w:sz w:val="32"/>
        </w:rPr>
        <w:t xml:space="preserve">                 стр. 10-12</w:t>
      </w:r>
    </w:p>
    <w:p w:rsidR="00FD5E06" w:rsidRDefault="00FD5E06">
      <w:pPr>
        <w:rPr>
          <w:rFonts w:ascii="Book Antiqua" w:hAnsi="Book Antiqua"/>
          <w:sz w:val="32"/>
        </w:rPr>
      </w:pPr>
    </w:p>
    <w:p w:rsidR="00FD5E06" w:rsidRDefault="00FD5E06">
      <w:pPr>
        <w:rPr>
          <w:rFonts w:ascii="Book Antiqua" w:hAnsi="Book Antiqua"/>
          <w:sz w:val="32"/>
        </w:rPr>
      </w:pPr>
    </w:p>
    <w:p w:rsidR="00FD5E06" w:rsidRDefault="00FD5E06">
      <w:pPr>
        <w:rPr>
          <w:rFonts w:ascii="Book Antiqua" w:hAnsi="Book Antiqua"/>
          <w:sz w:val="32"/>
          <w:lang w:val="en-US"/>
        </w:rPr>
      </w:pPr>
    </w:p>
    <w:p w:rsidR="00FD5E06" w:rsidRDefault="00FD5E06">
      <w:pPr>
        <w:rPr>
          <w:rFonts w:ascii="Book Antiqua" w:hAnsi="Book Antiqua"/>
          <w:sz w:val="32"/>
          <w:lang w:val="en-US"/>
        </w:rPr>
      </w:pPr>
    </w:p>
    <w:p w:rsidR="00FD5E06" w:rsidRDefault="00FD5E06">
      <w:pPr>
        <w:rPr>
          <w:lang w:val="en-US"/>
        </w:rPr>
      </w:pPr>
      <w:r>
        <w:rPr>
          <w:rFonts w:ascii="Book Antiqua" w:hAnsi="Book Antiqua"/>
          <w:b/>
          <w:i/>
          <w:sz w:val="32"/>
          <w:lang w:val="en-US"/>
        </w:rPr>
        <w:br w:type="page"/>
      </w:r>
    </w:p>
    <w:p w:rsidR="00FD5E06" w:rsidRDefault="00FD5E06">
      <w:pPr>
        <w:pStyle w:val="a3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</w:rPr>
        <w:t>Значение зеленых насаждений.</w:t>
      </w:r>
    </w:p>
    <w:p w:rsidR="00FD5E06" w:rsidRDefault="00FD5E06">
      <w:pPr>
        <w:pStyle w:val="a3"/>
        <w:ind w:firstLine="709"/>
        <w:rPr>
          <w:rFonts w:ascii="Arial" w:hAnsi="Arial"/>
          <w:sz w:val="22"/>
        </w:rPr>
      </w:pP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По данным Центра государственного санитарно-эпидемиологического надзора, увеличивающееся загрязнение окружающей среды города способствует росту распространенности хронических болезней органов дыхания, которые в 1997 г. В 1,5-2 раза чаще, чем в 1991 г., стали регистрироваться среди детей и подростков. Выявлен рост заболеваемости населения болезнями органов дыхания аллергической природы -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8"/>
        </w:rPr>
        <w:t>бронхиальной</w:t>
      </w:r>
      <w:r>
        <w:rPr>
          <w:rFonts w:ascii="Arial" w:hAnsi="Arial"/>
          <w:sz w:val="28"/>
        </w:rPr>
        <w:t xml:space="preserve"> </w:t>
      </w:r>
      <w:r>
        <w:rPr>
          <w:rFonts w:ascii="Comic Sans MS" w:hAnsi="Comic Sans MS"/>
          <w:sz w:val="28"/>
        </w:rPr>
        <w:t>астмы и аллергическим ринитом, при этом прослеживается тесная взаимосвязь динамики показателей заболеваемости с увеличением уровня загрязнения атмосферного воздуха и т. д. В этих условиях особую актуальность приобретают вопросы оздоровления среды обитания человека на территории стремительно развивающегося мегаполиса. Одним из адекватных и экономически целесообразных способов решения этой проблемы является увеличение площади озелененных территорий, улучшение их состояния и др.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Зеленые насаждения, таким образом, - важнейший элемент градостроительства, фактор, имеющий большое значение в санитарно-гигиеническом, архитектурно-планировочном и социальном отношении. Санитарно-гигиеническое значение зеленых насаждений весьма велико и многосторонне. Важнейшая гигиеническая особенность зеленых насаждений выражается в регулировании теплового и радиационного режимов, в создании микроклимата, обеспечивающего комфортные условия внешней среды. Не меньшее значение зеленых насаждений заключается в том, что они являются мощным фактором защиты населенных мест от пыли, газов, ветра и шума. Кроме того, они благоприятно воздействуют через органы чувств на центральную нервную систему человека, улучшая его самочувствие.</w:t>
      </w:r>
    </w:p>
    <w:p w:rsidR="00FD5E06" w:rsidRDefault="00FD5E06">
      <w:pPr>
        <w:pStyle w:val="a3"/>
        <w:tabs>
          <w:tab w:val="left" w:pos="851"/>
        </w:tabs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Для всего населения было бы желательным наличие теплового комфорта, которое зависит от теплообмена человека с окружающей средой. Влияние зеленых насаждений на смягчение температурного режима открытых пространств в летние дни обусловливается двумя важными факторами: во-первых, тем, что зеленые насаждения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8"/>
        </w:rPr>
        <w:t>при правильном их</w:t>
      </w:r>
      <w:r>
        <w:rPr>
          <w:rFonts w:ascii="Arial" w:hAnsi="Arial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размещении защищают поверхность стен, почвы и искусственных покрытий от прямого солнечного облучения, и, во-вторых, тем, что температура поверхности зеленого покрова, благодаря значительному отражению солнечных лучей и большому испарению влаги, не достигает таких высоких величин, как температура открытой почвы, искусственных покрытий и каменных стен. </w:t>
      </w:r>
    </w:p>
    <w:p w:rsidR="00FD5E06" w:rsidRDefault="00FD5E06">
      <w:pPr>
        <w:pStyle w:val="a3"/>
        <w:tabs>
          <w:tab w:val="left" w:pos="851"/>
        </w:tabs>
        <w:ind w:firstLine="567"/>
        <w:rPr>
          <w:rFonts w:ascii="Comic Sans MS" w:hAnsi="Comic Sans MS"/>
          <w:sz w:val="22"/>
        </w:rPr>
      </w:pPr>
      <w:r>
        <w:rPr>
          <w:rFonts w:ascii="Comic Sans MS" w:hAnsi="Comic Sans MS"/>
          <w:sz w:val="28"/>
        </w:rPr>
        <w:t>В гигиеническом отношении следует учитывать большое значение пылезащитных и газозащитных свойств зеленых насаждений. Процесс обеспыливания воздушной среды зелеными насаждениями схематично можно представить в следующем виде. Пылевые частицы загрязненного воздуха, встречая на своем пути зеленый массив, в значительной степени выпадают среди зеленых насаждений под влиянием силы тяжести вследствие уменьшения скорости движения воздуха; некоторая часть пыли выпадает из воздуха, наталкиваясь на стволы, ветви и листья деревьев; наконец, значительное количество пыли задерживается на поверхности листьев и хвои. Запыленность воздуха среди зеленых насаждений в 2-3 раза меньше, чем на открытых городских территориях. Необходимо заметить, что пылезащитная роль зеленых насаждений зависит от характера подстилающей поверхности: многими специалистами отмечено, что отсутствие ухоженного газона под деревьями значительно снижает осаждение пыли зелеными насаждениями</w:t>
      </w:r>
      <w:r>
        <w:rPr>
          <w:rFonts w:ascii="Comic Sans MS" w:hAnsi="Comic Sans MS"/>
          <w:sz w:val="22"/>
        </w:rPr>
        <w:t>.</w:t>
      </w:r>
    </w:p>
    <w:p w:rsidR="00FD5E06" w:rsidRDefault="00FD5E06">
      <w:pPr>
        <w:pStyle w:val="a3"/>
        <w:tabs>
          <w:tab w:val="left" w:pos="851"/>
        </w:tabs>
        <w:ind w:firstLine="567"/>
        <w:rPr>
          <w:rFonts w:ascii="Arial" w:hAnsi="Arial"/>
          <w:sz w:val="28"/>
        </w:rPr>
      </w:pPr>
      <w:r>
        <w:rPr>
          <w:rFonts w:ascii="Comic Sans MS" w:hAnsi="Comic Sans MS"/>
          <w:sz w:val="28"/>
        </w:rPr>
        <w:t>Влияние древесных и кустарниковых пород на снижение концентраций в воздухе вредных газов происходит главным образом путем рассеивания этих газов в верхние слои атмосферы кронами деревьев, и в некоторой степени путем поглощения газов листьями через устьица и клеточную оболочку листьев. Известно</w:t>
      </w:r>
      <w:r>
        <w:rPr>
          <w:rFonts w:ascii="Comic Sans MS" w:hAnsi="Comic Sans MS"/>
          <w:sz w:val="28"/>
          <w:lang w:val="en-US"/>
        </w:rPr>
        <w:t>,</w:t>
      </w:r>
      <w:r>
        <w:rPr>
          <w:rFonts w:ascii="Comic Sans MS" w:hAnsi="Comic Sans MS"/>
          <w:sz w:val="28"/>
        </w:rPr>
        <w:t xml:space="preserve"> например, что зеленые насаждения улавливают из атмосферного воздуха сернистый газ и накапливают его в виде сульфатов в своих тканях.</w:t>
      </w:r>
    </w:p>
    <w:p w:rsidR="00FD5E06" w:rsidRDefault="00FD5E06">
      <w:pPr>
        <w:pStyle w:val="a3"/>
        <w:tabs>
          <w:tab w:val="left" w:pos="851"/>
        </w:tabs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Зеленые насаждения, оказывая многообразное влияние на изменение микроклиматических условий внешней среды, улучшая температурно-влажностный и радиационный режимы, способствуя очистке атмосферного воздуха от загрязнений, благоприятно влияют на организм человека. При наличии зеленых насаждений в городе человек защищается от прямой солнечной радиации благодаря большой поверхности листьев, стволов, а так же почвы, имеющей более низкую температуру, чем температура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8"/>
        </w:rPr>
        <w:t>воздуха. В связи с этим облегчаются условия теплоотдачи, улучшается теплообмен и самочувствие человека.</w:t>
      </w:r>
    </w:p>
    <w:p w:rsidR="00FD5E06" w:rsidRDefault="00FD5E06">
      <w:pPr>
        <w:pStyle w:val="a3"/>
        <w:rPr>
          <w:rFonts w:ascii="Comic Sans MS" w:hAnsi="Comic Sans MS"/>
          <w:sz w:val="28"/>
        </w:rPr>
      </w:pPr>
    </w:p>
    <w:p w:rsidR="00FD5E06" w:rsidRDefault="00FD5E06">
      <w:pPr>
        <w:pStyle w:val="a3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color w:val="0000FF"/>
          <w:sz w:val="32"/>
        </w:rPr>
        <w:t>Факторы, влияющие на состояние зеленых насаждений.</w:t>
      </w:r>
    </w:p>
    <w:p w:rsidR="00FD5E06" w:rsidRDefault="00FD5E06">
      <w:pPr>
        <w:pStyle w:val="a3"/>
        <w:rPr>
          <w:rFonts w:ascii="Arial" w:hAnsi="Arial"/>
          <w:sz w:val="22"/>
        </w:rPr>
      </w:pP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Активное разрушение растительных сообществ в городе происходит из-за множества самых разнообразных причин: запыленности и загазованности атмосферы; загрязнения почв и грунтовых вод; нарушения естественного водного режима грунтовых вод; высокой плотности коммунальных сооружений, расположенных в корнеобитаемом слое; широкого распространения площадей с насыпным грунтом, полностью лишенным природных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8"/>
        </w:rPr>
        <w:t>свойств почв; использования при озеленении города слабоустойчивых к загрязнению растений и т. д.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Главными геохимическими факторами риска, влияющими на состояние городской растительности, являются: загрязнение, поступающее на поверхность растений с атмосферными выпадами; поверхностно-аккумулятивное и скрытое (глубинное) загрязнение корнеобитаемого слоя; проявление процессов галогенеза (засоление и солонцеватость); нарушение естественного баланса элементов в листья растений.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Зеленые насаждения Москвы в сегодняшней Москве находятся в критическом состоянии. Причин тому много. Одна из них – ингредиенты противогололедных смесей, которые интенсивно применяются на улицах города в последние 7-8 лет.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Концентрация хлоросодержащих солей повышена, и очень сильно. Наиболее это губительно для деревьев, растущих вблизи магистралей и улиц. Это подтверждает ситуация, сложившаяся на МКАД, где в первую очередь гибнут как молодые деревья – наиболее уязвимые и неокрепшие, так и те, которые произрастают здесь в течение последних 30-50 лет и были посажены до реконструкции МКАД.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Есть большая вероятность, что отказ от хлоросодержащих веществ в борьбе с обледенением дорог в зимний период уменьшит гибель деревьев не менее чем на 50%. На МКАД при движении автомобилей на больших скоростях происходит выбрасывание солевых аэрозолей на расстояние до 100-200 м. При сохранении сегодняшнего положения в ближайшие 5-8 лет вдоль МКАД образуется 110-километровая пустыня без деревьев.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Серьезным источником неблагополучия растений в городе является почва. Это поставщик органического вещества, биологически активных макро- и микроэлементов питания. Заболевания растений могут быть вызваны недостатком жизненно важных элементов. Избыток элементов, вызванный техногенным загрязнением почв, тоже приводит к хроническому ослаблению жизнеспособности растений, особенно хвойных. Порог содержаний элементов для устойчивого роста и развития растений достаточно ограничен.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Изменение водно-солевого и щелочно-кислотного режима почв также ведет к физиологическим нарушениям и гибели растений.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Естественный почвенный покров в городе претерпел изменения. Природные (или слабо нарушенные почвы) почвы сохранились фрагментарно, главным образом по периферии города и частично – в крупных парках средней части города.</w:t>
      </w:r>
    </w:p>
    <w:p w:rsidR="00FD5E06" w:rsidRDefault="00FD5E06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Под влиянием техногенеза почвы становятся менее кислыми, при этом щелочность почв увеличивается от периферии к центру. Далее, городские почвы обычно сильно загрязнены битумно-асфальтовыми смесями, сажей, нефтепродуктами. Поэтому правильнее говорить не о содержании органического углерода, а не о содержании гумуса. Одной из главных отличительных черт городских почв является их засоление, вызванное применением противогололедных солей.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Растения нередко находятся в сфере влияния электрических полей, связанных с трамвайными и троллейбусными линиями. Развитие корневой системы угнетается коммуникационными сетями.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Растительность бульваров, дворов и особенно магистралей функционирует в условиях высокой вероятности «залпового» загрязнения почв и атмосферы. В то время как медленное загрязнение дает возможность адаптироваться, «залповое» загрязнение приводит к быстрой и массовой гибели растений.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Большие растительные массивы (парки, сады) лучше адаптируются к загрязнению, что в целом (даже при минимальном уходе) выделяет их среди всех других видов городского озеленения как наиболее экологически благополучные и устойчивые системы. Эти зеленые массивы выходят на первое место как мощное средство нейтрализации вредных последствий техногенного загрязнения для населения.</w:t>
      </w:r>
    </w:p>
    <w:p w:rsidR="00FD5E06" w:rsidRDefault="00FD5E06">
      <w:pPr>
        <w:pStyle w:val="a3"/>
        <w:ind w:firstLine="567"/>
        <w:rPr>
          <w:rFonts w:ascii="Comic Sans MS" w:hAnsi="Comic Sans MS"/>
          <w:sz w:val="28"/>
        </w:rPr>
      </w:pPr>
    </w:p>
    <w:p w:rsidR="00FD5E06" w:rsidRDefault="00FD5E06">
      <w:pPr>
        <w:pStyle w:val="a3"/>
        <w:ind w:firstLine="567"/>
        <w:rPr>
          <w:rFonts w:ascii="Arial" w:hAnsi="Arial"/>
          <w:b/>
          <w:sz w:val="28"/>
        </w:rPr>
      </w:pPr>
    </w:p>
    <w:p w:rsidR="00FD5E06" w:rsidRDefault="00FD5E06">
      <w:pPr>
        <w:ind w:firstLine="567"/>
        <w:jc w:val="center"/>
        <w:rPr>
          <w:rFonts w:ascii="Arial" w:hAnsi="Arial"/>
          <w:b/>
          <w:color w:val="0000FF"/>
          <w:sz w:val="36"/>
          <w:lang w:val="en-US"/>
        </w:rPr>
      </w:pPr>
      <w:r>
        <w:rPr>
          <w:rFonts w:ascii="Arial" w:hAnsi="Arial"/>
          <w:b/>
          <w:sz w:val="28"/>
        </w:rPr>
        <w:fldChar w:fldCharType="begin"/>
      </w:r>
      <w:r>
        <w:rPr>
          <w:rFonts w:ascii="Arial" w:hAnsi="Arial"/>
          <w:b/>
          <w:sz w:val="28"/>
        </w:rPr>
        <w:instrText>PRIVATE</w:instrText>
      </w:r>
      <w:r>
        <w:rPr>
          <w:rFonts w:ascii="Arial" w:hAnsi="Arial"/>
          <w:b/>
          <w:sz w:val="28"/>
        </w:rPr>
        <w:fldChar w:fldCharType="end"/>
      </w:r>
      <w:r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color w:val="0000FF"/>
          <w:sz w:val="36"/>
        </w:rPr>
        <w:t>Состояние городских насаждений</w:t>
      </w:r>
    </w:p>
    <w:p w:rsidR="00FD5E06" w:rsidRDefault="00FD5E06">
      <w:pPr>
        <w:ind w:firstLine="567"/>
        <w:jc w:val="center"/>
        <w:rPr>
          <w:rFonts w:ascii="Arial" w:hAnsi="Arial"/>
          <w:b/>
          <w:i/>
          <w:color w:val="0000FF"/>
          <w:sz w:val="28"/>
        </w:rPr>
      </w:pPr>
      <w:r>
        <w:rPr>
          <w:rFonts w:ascii="Arial" w:hAnsi="Arial"/>
          <w:b/>
          <w:color w:val="0000FF"/>
          <w:sz w:val="36"/>
        </w:rPr>
        <w:t>(по данным мониторинга 1997 г.)</w:t>
      </w:r>
    </w:p>
    <w:p w:rsidR="00FD5E06" w:rsidRDefault="00FD5E06">
      <w:pPr>
        <w:ind w:firstLine="567"/>
        <w:jc w:val="both"/>
        <w:rPr>
          <w:rFonts w:ascii="Arial" w:hAnsi="Arial"/>
          <w:sz w:val="28"/>
        </w:rPr>
      </w:pPr>
    </w:p>
    <w:p w:rsidR="00FD5E06" w:rsidRDefault="00FD5E06">
      <w:pPr>
        <w:ind w:firstLine="567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color w:val="0000FF"/>
          <w:sz w:val="32"/>
        </w:rPr>
        <w:t>Видовой состав.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1997 г. в результате обследования насаждении на различных объектах и на постоянных пробных площадках наблюдения зафиксировано более 90 видов деревьев и кустарников. Однако, основной ассортимент (71% от общего числа деревьев и кустарников) представлен всего семью видами. </w:t>
      </w:r>
    </w:p>
    <w:p w:rsidR="00FD5E06" w:rsidRDefault="00FD5E06">
      <w:pPr>
        <w:pStyle w:val="a4"/>
        <w:ind w:firstLine="56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настоящее время преобладающим видом на объектах общего пользования является липа мелколистная. Доля ее участия в ассортименте зеленых насаждений составляет 29%. Остальные виды представлены в значительно меньшей степени. Клен остролистный составляет 10% от общего числа деревьев в обследованных насаждениях, тополь бальзамический - 9%, клен ясенелистный, ясень пенсильванский, береза повислая - по 6%.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Доля участия таких видов, как ясень высокий, рябина обыкновенная, сосна обыкновенная, вяз гладкий, дуб черешчатый, конский каштан обыкновенный, яблоня культурная, ель колючая, составляет менее 5%. В 12% насаждений наибольший удельный вес приходится на древесные растения. Среди малораспространенных, но ценных для города видов, отмечены такие как орехи серый и маньчжурский, тополь белый, вяз приземистый, конский каштан обыкновенный, лиственница сибирская и др. </w:t>
      </w:r>
    </w:p>
    <w:p w:rsidR="00FD5E06" w:rsidRDefault="00FD5E06">
      <w:pPr>
        <w:pStyle w:val="21"/>
        <w:rPr>
          <w:sz w:val="28"/>
        </w:rPr>
      </w:pPr>
    </w:p>
    <w:p w:rsidR="00FD5E06" w:rsidRDefault="00FD5E06">
      <w:pPr>
        <w:pStyle w:val="21"/>
      </w:pPr>
    </w:p>
    <w:p w:rsidR="00FD5E06" w:rsidRDefault="00FD5E06">
      <w:pPr>
        <w:numPr>
          <w:ilvl w:val="0"/>
          <w:numId w:val="2"/>
        </w:numPr>
        <w:spacing w:before="340"/>
        <w:jc w:val="center"/>
        <w:rPr>
          <w:b/>
          <w:i/>
          <w:color w:val="0000FF"/>
          <w:sz w:val="22"/>
        </w:rPr>
      </w:pPr>
      <w:r>
        <w:t xml:space="preserve">. 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b/>
          <w:color w:val="0000FF"/>
          <w:sz w:val="32"/>
        </w:rPr>
        <w:t>Видовой состав деревьев и доля участия каждого вида в     зеленых насаждениях города</w:t>
      </w:r>
    </w:p>
    <w:p w:rsidR="00FD5E06" w:rsidRDefault="00FD5E06">
      <w:pPr>
        <w:pStyle w:val="21"/>
        <w:rPr>
          <w:b/>
        </w:rPr>
      </w:pPr>
    </w:p>
    <w:p w:rsidR="00FD5E06" w:rsidRDefault="00FD5E06">
      <w:pPr>
        <w:pStyle w:val="21"/>
      </w:pPr>
    </w:p>
    <w:p w:rsidR="00FD5E06" w:rsidRDefault="00683A9F">
      <w:pPr>
        <w:pStyle w:val="21"/>
        <w:rPr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83.75pt" fillcolor="window">
            <v:imagedata r:id="rId5" o:title=""/>
          </v:shape>
        </w:pict>
      </w:r>
      <w:r w:rsidR="00FD5E06">
        <w:t xml:space="preserve"> </w:t>
      </w:r>
    </w:p>
    <w:p w:rsidR="00FD5E06" w:rsidRDefault="00FD5E06">
      <w:pPr>
        <w:spacing w:before="34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color w:val="0000FF"/>
          <w:sz w:val="32"/>
        </w:rPr>
        <w:t>Возрастная структура.</w:t>
      </w:r>
    </w:p>
    <w:p w:rsidR="00FD5E06" w:rsidRDefault="00FD5E06">
      <w:pPr>
        <w:pStyle w:val="20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центральной части города наблюдается наибольшее количество экземпляров в возрасте 51-60 лет, в срединной части  31-40-летних, на периферии  11-20 и 31-40-летних. Таким образом, возрастная структура зеленых насаждений отражает этапы их создания.</w:t>
      </w:r>
    </w:p>
    <w:p w:rsidR="00FD5E06" w:rsidRDefault="00FD5E06">
      <w:pPr>
        <w:ind w:firstLine="56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насаждениях жилой застройки преобладают молодые 11-20-летние деревья. На магистралях, бульварах и скверах наблюдаются в основном 31-40-летние растения. В садах зафиксировано одинаковое количество средневозрастных (21-30 лет) и старовозрастных (51-60 лет) деревьев. </w:t>
      </w:r>
    </w:p>
    <w:p w:rsidR="00FD5E06" w:rsidRDefault="00FD5E06">
      <w:pPr>
        <w:ind w:firstLine="567"/>
        <w:jc w:val="both"/>
        <w:rPr>
          <w:rFonts w:ascii="Arial" w:hAnsi="Arial"/>
          <w:sz w:val="28"/>
        </w:rPr>
      </w:pPr>
    </w:p>
    <w:p w:rsidR="00FD5E06" w:rsidRDefault="00FD5E06">
      <w:pPr>
        <w:pStyle w:val="1"/>
        <w:jc w:val="center"/>
        <w:rPr>
          <w:color w:val="0000FF"/>
          <w:sz w:val="32"/>
          <w:lang w:val="en-US"/>
        </w:rPr>
      </w:pPr>
      <w:r>
        <w:rPr>
          <w:color w:val="0000FF"/>
          <w:sz w:val="32"/>
        </w:rPr>
        <w:t>Состояние зеленых насаждений</w:t>
      </w:r>
      <w:r>
        <w:rPr>
          <w:color w:val="0000FF"/>
          <w:sz w:val="32"/>
          <w:lang w:val="en-US"/>
        </w:rPr>
        <w:t>.</w:t>
      </w:r>
    </w:p>
    <w:p w:rsidR="00FD5E06" w:rsidRDefault="00FD5E06">
      <w:pPr>
        <w:pStyle w:val="21"/>
        <w:rPr>
          <w:rFonts w:ascii="Comic Sans MS" w:hAnsi="Comic Sans MS"/>
          <w:i/>
          <w:sz w:val="28"/>
        </w:rPr>
      </w:pPr>
      <w:r>
        <w:rPr>
          <w:rFonts w:ascii="Comic Sans MS" w:hAnsi="Comic Sans MS"/>
          <w:sz w:val="28"/>
        </w:rPr>
        <w:t>Среди основных причин массового отмирания деревьев в городе назывались следующие: низкая агротехника ухода,</w:t>
      </w:r>
      <w:r>
        <w:rPr>
          <w:sz w:val="28"/>
        </w:rPr>
        <w:t xml:space="preserve"> </w:t>
      </w:r>
      <w:r>
        <w:rPr>
          <w:rFonts w:ascii="Comic Sans MS" w:hAnsi="Comic Sans MS"/>
          <w:sz w:val="28"/>
        </w:rPr>
        <w:t>чрезмерное уплотнение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8"/>
        </w:rPr>
        <w:t xml:space="preserve">почвы, механические повреждения и, как следствие, - высокая степень поврежденности вредителями и пораженность болезнями. </w:t>
      </w:r>
      <w:r>
        <w:rPr>
          <w:rFonts w:ascii="Comic Sans MS" w:hAnsi="Comic Sans MS"/>
          <w:i/>
          <w:sz w:val="28"/>
        </w:rPr>
        <w:t>(см. прил. №1 «карта поражения растительности»)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При обработке данных мониторинга 1997 г. предложено оценивать состояние насаждений на ППН (площадки постоянного наблюдения) по интегральному количеству сильно ослабленных и усыхающих растений на площадке. В связи с этим была разработана следующая методика оценки состояния насаждений на ППН в целом вне зависимости от видового состава. Если количество сильно ослабленных и усыхающих растений не превышало 15%, то состояние насаждений оценивалось как хорошее, если их количество было от 16 до 30% - как удовлетворительное, от 31 до 50% - как неудовлетворительное, свыше 50% - как крайне неудовлетворительное.</w:t>
      </w:r>
    </w:p>
    <w:p w:rsidR="00FD5E06" w:rsidRDefault="00FD5E06">
      <w:pPr>
        <w:spacing w:before="380"/>
        <w:jc w:val="both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</w:rPr>
        <w:t>Наибольшее число сильно ослабленных и усыхающих деревьев отмечено в центральной части города (на 53% ППН), несколько меньше (около 45% ППН) в срединной части и за пределами МКАД. Анализ возрастной структуры зеленых насаждений города показывает/ что в центре насаж</w:t>
      </w:r>
      <w:r>
        <w:rPr>
          <w:rFonts w:ascii="Comic Sans MS" w:hAnsi="Comic Sans MS"/>
          <w:sz w:val="28"/>
        </w:rPr>
        <w:softHyphen/>
        <w:t>дения находятся более старые</w:t>
      </w:r>
      <w:r>
        <w:rPr>
          <w:rFonts w:ascii="Comic Sans MS" w:hAnsi="Comic Sans MS"/>
          <w:noProof/>
          <w:sz w:val="28"/>
        </w:rPr>
        <w:t xml:space="preserve"> -</w:t>
      </w:r>
      <w:r>
        <w:rPr>
          <w:rFonts w:ascii="Comic Sans MS" w:hAnsi="Comic Sans MS"/>
          <w:sz w:val="28"/>
        </w:rPr>
        <w:t xml:space="preserve"> на ППН зафиксировано</w:t>
      </w:r>
      <w:r>
        <w:rPr>
          <w:rFonts w:ascii="Comic Sans MS" w:hAnsi="Comic Sans MS"/>
          <w:noProof/>
          <w:sz w:val="28"/>
        </w:rPr>
        <w:t xml:space="preserve"> 40%</w:t>
      </w:r>
      <w:r>
        <w:rPr>
          <w:rFonts w:ascii="Comic Sans MS" w:hAnsi="Comic Sans MS"/>
          <w:sz w:val="28"/>
        </w:rPr>
        <w:t xml:space="preserve"> деревьев в возрасте от</w:t>
      </w:r>
      <w:r>
        <w:rPr>
          <w:rFonts w:ascii="Comic Sans MS" w:hAnsi="Comic Sans MS"/>
          <w:noProof/>
          <w:sz w:val="28"/>
        </w:rPr>
        <w:t xml:space="preserve"> 50</w:t>
      </w:r>
      <w:r>
        <w:rPr>
          <w:rFonts w:ascii="Comic Sans MS" w:hAnsi="Comic Sans MS"/>
          <w:sz w:val="28"/>
        </w:rPr>
        <w:t xml:space="preserve"> до</w:t>
      </w:r>
      <w:r>
        <w:rPr>
          <w:rFonts w:ascii="Comic Sans MS" w:hAnsi="Comic Sans MS"/>
          <w:noProof/>
          <w:sz w:val="28"/>
        </w:rPr>
        <w:t xml:space="preserve"> 80 </w:t>
      </w:r>
      <w:r>
        <w:rPr>
          <w:rFonts w:ascii="Comic Sans MS" w:hAnsi="Comic Sans MS"/>
          <w:sz w:val="28"/>
        </w:rPr>
        <w:t>лет (рис,</w:t>
      </w:r>
      <w:r>
        <w:rPr>
          <w:rFonts w:ascii="Comic Sans MS" w:hAnsi="Comic Sans MS"/>
          <w:noProof/>
          <w:sz w:val="28"/>
        </w:rPr>
        <w:t xml:space="preserve"> 2.1.3),</w:t>
      </w:r>
      <w:r>
        <w:rPr>
          <w:rFonts w:ascii="Comic Sans MS" w:hAnsi="Comic Sans MS"/>
          <w:sz w:val="28"/>
        </w:rPr>
        <w:t xml:space="preserve"> и в направлении от центра к МКАД их количество уменьшается. Около</w:t>
      </w:r>
      <w:r>
        <w:rPr>
          <w:rFonts w:ascii="Comic Sans MS" w:hAnsi="Comic Sans MS"/>
          <w:noProof/>
          <w:sz w:val="28"/>
        </w:rPr>
        <w:t xml:space="preserve"> 80%</w:t>
      </w:r>
      <w:r>
        <w:rPr>
          <w:rFonts w:ascii="Comic Sans MS" w:hAnsi="Comic Sans MS"/>
          <w:sz w:val="28"/>
        </w:rPr>
        <w:t xml:space="preserve"> го</w:t>
      </w:r>
      <w:r>
        <w:rPr>
          <w:rFonts w:ascii="Comic Sans MS" w:hAnsi="Comic Sans MS"/>
          <w:sz w:val="28"/>
        </w:rPr>
        <w:softHyphen/>
        <w:t>родских насаждений в периферийной части города представлено деревьями в возрасте от</w:t>
      </w:r>
      <w:r>
        <w:rPr>
          <w:rFonts w:ascii="Comic Sans MS" w:hAnsi="Comic Sans MS"/>
          <w:noProof/>
          <w:sz w:val="28"/>
        </w:rPr>
        <w:t xml:space="preserve"> 10</w:t>
      </w:r>
      <w:r>
        <w:rPr>
          <w:rFonts w:ascii="Comic Sans MS" w:hAnsi="Comic Sans MS"/>
          <w:sz w:val="28"/>
        </w:rPr>
        <w:t xml:space="preserve"> до </w:t>
      </w:r>
      <w:r>
        <w:rPr>
          <w:rFonts w:ascii="Comic Sans MS" w:hAnsi="Comic Sans MS"/>
          <w:noProof/>
          <w:sz w:val="28"/>
        </w:rPr>
        <w:t>50</w:t>
      </w:r>
      <w:r>
        <w:rPr>
          <w:rFonts w:ascii="Comic Sans MS" w:hAnsi="Comic Sans MS"/>
          <w:sz w:val="28"/>
        </w:rPr>
        <w:t xml:space="preserve"> лет/ и от</w:t>
      </w:r>
      <w:r>
        <w:rPr>
          <w:rFonts w:ascii="Comic Sans MS" w:hAnsi="Comic Sans MS"/>
          <w:noProof/>
          <w:sz w:val="28"/>
        </w:rPr>
        <w:t xml:space="preserve"> 5</w:t>
      </w:r>
      <w:r>
        <w:rPr>
          <w:rFonts w:ascii="Comic Sans MS" w:hAnsi="Comic Sans MS"/>
          <w:sz w:val="28"/>
        </w:rPr>
        <w:t xml:space="preserve"> до</w:t>
      </w:r>
      <w:r>
        <w:rPr>
          <w:rFonts w:ascii="Comic Sans MS" w:hAnsi="Comic Sans MS"/>
          <w:noProof/>
          <w:sz w:val="28"/>
        </w:rPr>
        <w:t xml:space="preserve"> 40</w:t>
      </w:r>
      <w:r>
        <w:rPr>
          <w:rFonts w:ascii="Comic Sans MS" w:hAnsi="Comic Sans MS"/>
          <w:sz w:val="28"/>
        </w:rPr>
        <w:t xml:space="preserve"> лет</w:t>
      </w:r>
      <w:r>
        <w:rPr>
          <w:rFonts w:ascii="Comic Sans MS" w:hAnsi="Comic Sans MS"/>
          <w:noProof/>
          <w:sz w:val="28"/>
        </w:rPr>
        <w:t xml:space="preserve"> -</w:t>
      </w:r>
      <w:r>
        <w:rPr>
          <w:rFonts w:ascii="Comic Sans MS" w:hAnsi="Comic Sans MS"/>
          <w:sz w:val="28"/>
        </w:rPr>
        <w:t xml:space="preserve"> в районе МКАД и за ее пределами. </w:t>
      </w:r>
    </w:p>
    <w:p w:rsidR="00FD5E06" w:rsidRDefault="00FD5E06">
      <w:pPr>
        <w:spacing w:before="380"/>
        <w:jc w:val="both"/>
        <w:rPr>
          <w:rFonts w:ascii="Comic Sans MS" w:hAnsi="Comic Sans MS"/>
          <w:sz w:val="28"/>
          <w:lang w:val="en-US"/>
        </w:rPr>
      </w:pPr>
    </w:p>
    <w:p w:rsidR="00FD5E06" w:rsidRDefault="00FD5E06">
      <w:pPr>
        <w:spacing w:before="380"/>
        <w:jc w:val="both"/>
        <w:rPr>
          <w:rFonts w:ascii="Comic Sans MS" w:hAnsi="Comic Sans MS"/>
          <w:sz w:val="28"/>
          <w:lang w:val="en-US"/>
        </w:rPr>
      </w:pPr>
    </w:p>
    <w:p w:rsidR="00FD5E06" w:rsidRDefault="00FD5E06">
      <w:pPr>
        <w:pStyle w:val="30"/>
        <w:numPr>
          <w:ilvl w:val="0"/>
          <w:numId w:val="1"/>
        </w:numPr>
        <w:jc w:val="left"/>
        <w:rPr>
          <w:b/>
          <w:i w:val="0"/>
          <w:sz w:val="32"/>
        </w:rPr>
      </w:pPr>
      <w:r>
        <w:rPr>
          <w:b/>
          <w:i w:val="0"/>
          <w:color w:val="0000FF"/>
          <w:sz w:val="32"/>
        </w:rPr>
        <w:t>Возрастная структура зеленых насаждений в зависимости от их</w:t>
      </w:r>
      <w:r>
        <w:rPr>
          <w:b/>
          <w:i w:val="0"/>
          <w:sz w:val="32"/>
        </w:rPr>
        <w:t xml:space="preserve"> </w:t>
      </w:r>
      <w:r>
        <w:rPr>
          <w:b/>
          <w:i w:val="0"/>
          <w:color w:val="0000FF"/>
          <w:sz w:val="32"/>
        </w:rPr>
        <w:t>местоположения в городе</w:t>
      </w:r>
      <w:r>
        <w:rPr>
          <w:b/>
          <w:i w:val="0"/>
          <w:color w:val="0000FF"/>
          <w:sz w:val="32"/>
          <w:lang w:val="en-US"/>
        </w:rPr>
        <w:t>.</w:t>
      </w:r>
    </w:p>
    <w:p w:rsidR="00FD5E06" w:rsidRDefault="00FD5E06">
      <w:pPr>
        <w:spacing w:line="281" w:lineRule="auto"/>
        <w:ind w:firstLine="567"/>
        <w:jc w:val="both"/>
        <w:rPr>
          <w:rFonts w:ascii="Arial" w:hAnsi="Arial"/>
          <w:sz w:val="22"/>
        </w:rPr>
      </w:pPr>
    </w:p>
    <w:p w:rsidR="00FD5E06" w:rsidRDefault="00683A9F">
      <w:pPr>
        <w:spacing w:before="240"/>
        <w:ind w:left="426"/>
        <w:jc w:val="both"/>
      </w:pPr>
      <w:r>
        <w:rPr>
          <w:rFonts w:ascii="Arial" w:hAnsi="Arial"/>
        </w:rPr>
        <w:pict>
          <v:shape id="_x0000_i1026" type="#_x0000_t75" style="width:376.5pt;height:209.25pt" fillcolor="window">
            <v:imagedata r:id="rId6" o:title=""/>
          </v:shape>
        </w:pict>
      </w:r>
    </w:p>
    <w:p w:rsidR="00FD5E06" w:rsidRDefault="00FD5E06">
      <w:pPr>
        <w:ind w:left="3680"/>
        <w:jc w:val="both"/>
      </w:pPr>
    </w:p>
    <w:p w:rsidR="00FD5E06" w:rsidRDefault="00FD5E06">
      <w:pPr>
        <w:pStyle w:val="21"/>
        <w:ind w:firstLine="0"/>
        <w:rPr>
          <w:i/>
        </w:rPr>
      </w:pP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Наименьшее количество сильно ослабленных и усыхающих деревьев среди представителей ведущего ассортимента отмечено среди таких видов, как каштан конский обыкновенный, вяз гладкий, дуб черешчатый, береза пoвиcлая.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Наибольшее количество сильно ослабленных и усыхающих деревьев обнаружено у тополя бальзамического  74%, ясеня высокого  72%, яблони ягодной  70%.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У липы мелколистной наибольшее количество (77,5%) сильно ослабленных и усыхающих деревьев наблюдается на бульварах, у клена остролистного (72,2%) - также на бульварах, тополя бальзамического (86,4%) - на бульварах и скверах. У клена ясенелистного в парках и на бульварах количество сильно ослабленных деревьев составило 58,9% и 56,3% соответственно; у ясеня пенсильванского</w:t>
      </w:r>
      <w:r>
        <w:rPr>
          <w:rFonts w:ascii="Comic Sans MS" w:hAnsi="Comic Sans MS"/>
          <w:sz w:val="28"/>
          <w:lang w:val="en-US"/>
        </w:rPr>
        <w:t xml:space="preserve"> (from Arkansas)</w:t>
      </w:r>
      <w:r>
        <w:rPr>
          <w:rFonts w:ascii="Comic Sans MS" w:hAnsi="Comic Sans MS"/>
          <w:sz w:val="28"/>
        </w:rPr>
        <w:t xml:space="preserve"> - 71,6% в садах и 68,2% в скверах; березы повислой - 73,6% на бульварах; ясеня высокого - 78,8% на улицах и 73,3% скверах; у рябины обыкновенной - 72,2% в парках; у сосны обыкновенной 100% на улицах и 92,9% на бульварах; у вяза гладкого - 65,6% на бульварах; у дуба черешчатого и каштана конского обыкновенного в скверах и яблони культурной в парках -</w:t>
      </w:r>
      <w:r>
        <w:rPr>
          <w:rFonts w:ascii="Comic Sans MS" w:hAnsi="Comic Sans MS"/>
          <w:sz w:val="28"/>
          <w:lang w:val="en-US"/>
        </w:rPr>
        <w:t xml:space="preserve"> </w:t>
      </w:r>
      <w:r>
        <w:rPr>
          <w:rFonts w:ascii="Comic Sans MS" w:hAnsi="Comic Sans MS"/>
          <w:sz w:val="28"/>
        </w:rPr>
        <w:t>100%; у ели колючей на бульварах и в скверах - около 70%.</w:t>
      </w:r>
    </w:p>
    <w:p w:rsidR="00FD5E06" w:rsidRDefault="00FD5E06">
      <w:pPr>
        <w:pStyle w:val="3"/>
        <w:rPr>
          <w:rFonts w:ascii="Arial" w:hAnsi="Arial"/>
          <w:color w:val="0000FF"/>
          <w:lang w:val="en-US"/>
        </w:rPr>
      </w:pPr>
      <w:r>
        <w:rPr>
          <w:rFonts w:ascii="Arial" w:hAnsi="Arial"/>
          <w:color w:val="0000FF"/>
        </w:rPr>
        <w:t>Энтомо-фитопатологическая характеристика</w:t>
      </w:r>
      <w:r>
        <w:rPr>
          <w:rFonts w:ascii="Arial" w:hAnsi="Arial"/>
          <w:color w:val="0000FF"/>
          <w:lang w:val="en-US"/>
        </w:rPr>
        <w:t>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1997 г. проведенный на ППН рекогносцировочный надзор позволил выявить очаги болезней и вредителей, степень их развития, определить категорию состояния растений.</w:t>
      </w:r>
      <w:r>
        <w:rPr>
          <w:rFonts w:ascii="Comic Sans MS" w:hAnsi="Comic Sans MS"/>
          <w:sz w:val="28"/>
          <w:lang w:val="en-US"/>
        </w:rPr>
        <w:t xml:space="preserve"> </w:t>
      </w:r>
      <w:r>
        <w:rPr>
          <w:rFonts w:ascii="Comic Sans MS" w:hAnsi="Comic Sans MS"/>
          <w:sz w:val="28"/>
        </w:rPr>
        <w:t>Как уже и многие годы подряд, наибольший вред причиняют тиростромоз липы и голландская болезнь вяза.</w:t>
      </w:r>
    </w:p>
    <w:p w:rsidR="00FD5E06" w:rsidRDefault="00FD5E06">
      <w:pPr>
        <w:jc w:val="both"/>
        <w:rPr>
          <w:rFonts w:ascii="Arial" w:hAnsi="Arial"/>
          <w:b/>
          <w:sz w:val="26"/>
          <w:lang w:val="en-US"/>
        </w:rPr>
      </w:pPr>
    </w:p>
    <w:p w:rsidR="00FD5E06" w:rsidRDefault="00FD5E06">
      <w:pPr>
        <w:jc w:val="center"/>
        <w:rPr>
          <w:rFonts w:ascii="Arial" w:hAnsi="Arial"/>
          <w:b/>
          <w:color w:val="0000FF"/>
          <w:sz w:val="36"/>
          <w:lang w:val="en-US"/>
        </w:rPr>
      </w:pPr>
      <w:r>
        <w:rPr>
          <w:rFonts w:ascii="Arial" w:hAnsi="Arial"/>
          <w:b/>
          <w:color w:val="0000FF"/>
          <w:sz w:val="36"/>
        </w:rPr>
        <w:t>Состояние зеленых насаждений по биофизическим показателям</w:t>
      </w:r>
      <w:r>
        <w:rPr>
          <w:rFonts w:ascii="Arial" w:hAnsi="Arial"/>
          <w:b/>
          <w:color w:val="0000FF"/>
          <w:sz w:val="36"/>
          <w:lang w:val="en-US"/>
        </w:rPr>
        <w:t>.</w:t>
      </w:r>
    </w:p>
    <w:p w:rsidR="00FD5E06" w:rsidRDefault="00FD5E06">
      <w:pPr>
        <w:jc w:val="center"/>
        <w:rPr>
          <w:rFonts w:ascii="Arial" w:hAnsi="Arial"/>
          <w:b/>
          <w:color w:val="000080"/>
          <w:sz w:val="32"/>
          <w:lang w:val="en-US"/>
        </w:rPr>
      </w:pPr>
    </w:p>
    <w:p w:rsidR="00FD5E06" w:rsidRDefault="00FD5E06">
      <w:pPr>
        <w:pStyle w:val="2"/>
        <w:jc w:val="center"/>
        <w:rPr>
          <w:b/>
          <w:color w:val="0000FF"/>
          <w:sz w:val="32"/>
          <w:lang w:val="en-US"/>
        </w:rPr>
      </w:pPr>
      <w:r>
        <w:rPr>
          <w:b/>
          <w:color w:val="0000FF"/>
          <w:sz w:val="32"/>
        </w:rPr>
        <w:t>Фотометрический индекс стресса</w:t>
      </w:r>
      <w:r>
        <w:rPr>
          <w:b/>
          <w:color w:val="0000FF"/>
          <w:sz w:val="32"/>
          <w:lang w:val="en-US"/>
        </w:rPr>
        <w:t>.</w:t>
      </w:r>
    </w:p>
    <w:p w:rsidR="00FD5E06" w:rsidRDefault="00FD5E06">
      <w:pPr>
        <w:pStyle w:val="20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 некоторых площадках мониторинга проведены спектрометрические измерения прецизионным спектрофотометром ПИФ-М листовых пластин деревьев с визуальной оценкой их состояния. В качестве объекта выбрана липа мелколистная, клен остролистный, клен ясенелистный, береза повислая, дуб черешчатый, тополь бальзамический.</w:t>
      </w:r>
    </w:p>
    <w:p w:rsidR="00FD5E06" w:rsidRDefault="00FD5E06">
      <w:pPr>
        <w:ind w:firstLine="56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Анализ результатов измерений фотометрического индекса стресса ФИС позволил оценить состояние древесной растительности на разных стадиях поражения и обнаружить стрессовое состояние растительности до проявления его визуальных признаков.</w:t>
      </w:r>
    </w:p>
    <w:p w:rsidR="00FD5E06" w:rsidRDefault="00FD5E06">
      <w:pPr>
        <w:ind w:firstLine="567"/>
        <w:jc w:val="both"/>
        <w:rPr>
          <w:rFonts w:ascii="Arial" w:hAnsi="Arial"/>
          <w:sz w:val="28"/>
        </w:rPr>
      </w:pPr>
    </w:p>
    <w:p w:rsidR="00FD5E06" w:rsidRDefault="00FD5E06">
      <w:pPr>
        <w:pStyle w:val="1"/>
        <w:jc w:val="center"/>
        <w:rPr>
          <w:color w:val="0000FF"/>
          <w:sz w:val="32"/>
          <w:lang w:val="en-US"/>
        </w:rPr>
      </w:pPr>
      <w:r>
        <w:rPr>
          <w:color w:val="0000FF"/>
          <w:sz w:val="32"/>
        </w:rPr>
        <w:t>Флуоресценция хлорофилла</w:t>
      </w:r>
      <w:r>
        <w:rPr>
          <w:color w:val="0000FF"/>
          <w:sz w:val="32"/>
          <w:lang w:val="en-US"/>
        </w:rPr>
        <w:t>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Для оценки состояния деревьев в городских насаждениях в этом году впервые был использован импульсивный флуорометр, разработанный в МГУ им. М.В. Ломоносова, позволяющий судить по характеристикам флуросценции</w:t>
      </w:r>
      <w:r>
        <w:rPr>
          <w:sz w:val="28"/>
        </w:rPr>
        <w:t xml:space="preserve"> </w:t>
      </w:r>
      <w:r>
        <w:rPr>
          <w:rFonts w:ascii="Comic Sans MS" w:hAnsi="Comic Sans MS"/>
          <w:sz w:val="28"/>
        </w:rPr>
        <w:t>хлорофилла о максимальной эффективности фотосинтеза, то есть эффективности запасания света.</w:t>
      </w:r>
    </w:p>
    <w:p w:rsidR="00FD5E06" w:rsidRDefault="00FD5E06">
      <w:pPr>
        <w:pStyle w:val="21"/>
        <w:rPr>
          <w:sz w:val="28"/>
        </w:rPr>
      </w:pPr>
    </w:p>
    <w:p w:rsidR="00FD5E06" w:rsidRDefault="00FD5E06">
      <w:pPr>
        <w:pStyle w:val="1"/>
        <w:jc w:val="center"/>
        <w:rPr>
          <w:color w:val="0000FF"/>
          <w:sz w:val="32"/>
          <w:lang w:val="en-US"/>
        </w:rPr>
      </w:pPr>
      <w:r>
        <w:rPr>
          <w:color w:val="0000FF"/>
          <w:sz w:val="32"/>
        </w:rPr>
        <w:t>Низкочастотное сопротивление тканей древесных растений</w:t>
      </w:r>
      <w:r>
        <w:rPr>
          <w:color w:val="0000FF"/>
          <w:sz w:val="32"/>
          <w:lang w:val="en-US"/>
        </w:rPr>
        <w:t>.</w:t>
      </w:r>
    </w:p>
    <w:p w:rsidR="00FD5E06" w:rsidRDefault="00FD5E06">
      <w:pPr>
        <w:pStyle w:val="2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Биофизические показатели тканей живых растений, получаемые при изучении их электросопротивления, тесным образом связаны с жизнеспособностью дерева и могут использоваться для диагностики состояния растений. Электросопротивление луба точно характеризует патофизиологическое состояние древесных растений: чем выше сопротивление, тем ниже уровень функционирования основных физиологических процессов. Эта закономерная связь характеризует все изучаемые породы.</w:t>
      </w:r>
    </w:p>
    <w:p w:rsidR="00FD5E06" w:rsidRDefault="00FD5E06">
      <w:pPr>
        <w:ind w:firstLine="56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Динамику электросопротивления тканей побегов можно рассматривать и как отражение физиологических процессов, происходящих в растении. При этом из факторов, определяющих физиологическое состояние растений, важное значение имеют водный режим тканей, возраст деревьев, условия роста, категория состояния.</w:t>
      </w:r>
    </w:p>
    <w:p w:rsidR="00FD5E06" w:rsidRDefault="00FD5E06">
      <w:pPr>
        <w:spacing w:before="260"/>
        <w:jc w:val="center"/>
        <w:rPr>
          <w:color w:val="0000FF"/>
          <w:sz w:val="32"/>
          <w:lang w:val="en-US"/>
        </w:rPr>
      </w:pPr>
      <w:bookmarkStart w:id="0" w:name="achtung"/>
      <w:bookmarkEnd w:id="0"/>
      <w:r>
        <w:rPr>
          <w:rFonts w:ascii="Arial" w:hAnsi="Arial"/>
          <w:b/>
          <w:color w:val="0000FF"/>
          <w:sz w:val="32"/>
        </w:rPr>
        <w:t>Энтомо-фитопатологическая характеристика состояния зеленых насаждений в</w:t>
      </w:r>
      <w:r>
        <w:rPr>
          <w:color w:val="0000FF"/>
          <w:sz w:val="32"/>
        </w:rPr>
        <w:t xml:space="preserve"> </w:t>
      </w:r>
      <w:r>
        <w:rPr>
          <w:rFonts w:ascii="Arial" w:hAnsi="Arial"/>
          <w:b/>
          <w:color w:val="0000FF"/>
          <w:sz w:val="32"/>
        </w:rPr>
        <w:t>городе</w:t>
      </w:r>
      <w:r>
        <w:rPr>
          <w:rFonts w:ascii="Arial" w:hAnsi="Arial"/>
          <w:b/>
          <w:color w:val="0000FF"/>
          <w:sz w:val="32"/>
          <w:lang w:val="en-US"/>
        </w:rPr>
        <w:t>.</w:t>
      </w:r>
    </w:p>
    <w:p w:rsidR="00FD5E06" w:rsidRDefault="00FD5E06">
      <w:pPr>
        <w:spacing w:line="280" w:lineRule="auto"/>
        <w:ind w:left="40" w:firstLine="54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рамках мониторинга</w:t>
      </w:r>
      <w:r>
        <w:rPr>
          <w:rFonts w:ascii="Comic Sans MS" w:hAnsi="Comic Sans MS"/>
          <w:noProof/>
          <w:sz w:val="28"/>
        </w:rPr>
        <w:t xml:space="preserve"> </w:t>
      </w:r>
      <w:r>
        <w:rPr>
          <w:rFonts w:ascii="Comic Sans MS" w:hAnsi="Comic Sans MS"/>
          <w:sz w:val="28"/>
        </w:rPr>
        <w:t>учет повреждений вредителями и поражений болезнями проведен на</w:t>
      </w:r>
      <w:r>
        <w:rPr>
          <w:rFonts w:ascii="Comic Sans MS" w:hAnsi="Comic Sans MS"/>
          <w:noProof/>
          <w:sz w:val="28"/>
        </w:rPr>
        <w:t xml:space="preserve"> 9368</w:t>
      </w:r>
      <w:r>
        <w:rPr>
          <w:rFonts w:ascii="Comic Sans MS" w:hAnsi="Comic Sans MS"/>
          <w:sz w:val="28"/>
        </w:rPr>
        <w:t xml:space="preserve"> растениях. Кроме того, проводился оперативный надзор за появлением и рас</w:t>
      </w:r>
      <w:r>
        <w:rPr>
          <w:rFonts w:ascii="Comic Sans MS" w:hAnsi="Comic Sans MS"/>
          <w:sz w:val="28"/>
        </w:rPr>
        <w:softHyphen/>
        <w:t>пространением вредителей и болезней на участках постоянного наблюдения. В процессе обсле</w:t>
      </w:r>
      <w:r>
        <w:rPr>
          <w:rFonts w:ascii="Comic Sans MS" w:hAnsi="Comic Sans MS"/>
          <w:sz w:val="28"/>
        </w:rPr>
        <w:softHyphen/>
        <w:t>дования выявлен видовой состав вредителей и болезней, определены степени поражения или по</w:t>
      </w:r>
      <w:r>
        <w:rPr>
          <w:rFonts w:ascii="Comic Sans MS" w:hAnsi="Comic Sans MS"/>
          <w:sz w:val="28"/>
        </w:rPr>
        <w:softHyphen/>
        <w:t>вреждения растений, категория их состояния по всему экологическому профилю. Установлено</w:t>
      </w:r>
      <w:r>
        <w:rPr>
          <w:rFonts w:ascii="Comic Sans MS" w:hAnsi="Comic Sans MS"/>
          <w:sz w:val="28"/>
          <w:lang w:val="en-US"/>
        </w:rPr>
        <w:t xml:space="preserve">, </w:t>
      </w:r>
      <w:r>
        <w:rPr>
          <w:rFonts w:ascii="Comic Sans MS" w:hAnsi="Comic Sans MS"/>
          <w:sz w:val="28"/>
        </w:rPr>
        <w:t>что растения без признаков поражений и повреждений составляют лишь</w:t>
      </w:r>
      <w:r>
        <w:rPr>
          <w:rFonts w:ascii="Comic Sans MS" w:hAnsi="Comic Sans MS"/>
          <w:noProof/>
          <w:sz w:val="28"/>
        </w:rPr>
        <w:t xml:space="preserve"> 18,4%.</w:t>
      </w:r>
    </w:p>
    <w:p w:rsidR="00FD5E06" w:rsidRDefault="00FD5E06">
      <w:pPr>
        <w:spacing w:line="280" w:lineRule="auto"/>
        <w:ind w:left="40" w:firstLine="54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Членистоногими вредителями повреждено</w:t>
      </w:r>
      <w:r>
        <w:rPr>
          <w:rFonts w:ascii="Comic Sans MS" w:hAnsi="Comic Sans MS"/>
          <w:noProof/>
          <w:sz w:val="28"/>
        </w:rPr>
        <w:t xml:space="preserve"> 65,5%</w:t>
      </w:r>
      <w:r>
        <w:rPr>
          <w:rFonts w:ascii="Comic Sans MS" w:hAnsi="Comic Sans MS"/>
          <w:sz w:val="28"/>
        </w:rPr>
        <w:t xml:space="preserve"> обследованных растений, инфекционными болезнями</w:t>
      </w:r>
      <w:r>
        <w:rPr>
          <w:rFonts w:ascii="Arial" w:hAnsi="Arial"/>
          <w:sz w:val="28"/>
        </w:rPr>
        <w:t xml:space="preserve"> </w:t>
      </w:r>
      <w:r>
        <w:rPr>
          <w:rFonts w:ascii="Comic Sans MS" w:hAnsi="Comic Sans MS"/>
          <w:sz w:val="28"/>
        </w:rPr>
        <w:t>поражено</w:t>
      </w:r>
      <w:r>
        <w:rPr>
          <w:rFonts w:ascii="Comic Sans MS" w:hAnsi="Comic Sans MS"/>
          <w:noProof/>
          <w:sz w:val="28"/>
        </w:rPr>
        <w:t xml:space="preserve"> 42,3%</w:t>
      </w:r>
      <w:r>
        <w:rPr>
          <w:rFonts w:ascii="Comic Sans MS" w:hAnsi="Comic Sans MS"/>
          <w:sz w:val="28"/>
        </w:rPr>
        <w:t xml:space="preserve"> растений, неинфекционные заболевания и повреждения отмечены на </w:t>
      </w:r>
      <w:r>
        <w:rPr>
          <w:rFonts w:ascii="Comic Sans MS" w:hAnsi="Comic Sans MS"/>
          <w:noProof/>
          <w:sz w:val="28"/>
        </w:rPr>
        <w:t>34%</w:t>
      </w:r>
      <w:r>
        <w:rPr>
          <w:rFonts w:ascii="Comic Sans MS" w:hAnsi="Comic Sans MS"/>
          <w:sz w:val="28"/>
        </w:rPr>
        <w:t xml:space="preserve"> растений.</w:t>
      </w:r>
    </w:p>
    <w:p w:rsidR="00FD5E06" w:rsidRDefault="00FD5E06">
      <w:pPr>
        <w:spacing w:line="281" w:lineRule="auto"/>
        <w:ind w:firstLine="56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Из всех выявленных в</w:t>
      </w:r>
      <w:r>
        <w:rPr>
          <w:rFonts w:ascii="Comic Sans MS" w:hAnsi="Comic Sans MS"/>
          <w:noProof/>
          <w:sz w:val="28"/>
        </w:rPr>
        <w:t xml:space="preserve"> 1998</w:t>
      </w:r>
      <w:r>
        <w:rPr>
          <w:rFonts w:ascii="Comic Sans MS" w:hAnsi="Comic Sans MS"/>
          <w:sz w:val="28"/>
        </w:rPr>
        <w:t xml:space="preserve"> г. энтомо-фитопатологических факторов, влияющих на состоя</w:t>
      </w:r>
      <w:r>
        <w:rPr>
          <w:rFonts w:ascii="Comic Sans MS" w:hAnsi="Comic Sans MS"/>
          <w:sz w:val="28"/>
        </w:rPr>
        <w:softHyphen/>
        <w:t>ние и декоративность древесных растений в городе, наибольшую опасность для насаждений, как и в прошлые годы, представляли следующие</w:t>
      </w:r>
      <w:r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sz w:val="28"/>
        </w:rPr>
        <w:t>болезни</w:t>
      </w:r>
      <w:r>
        <w:rPr>
          <w:rFonts w:ascii="Comic Sans MS" w:hAnsi="Comic Sans MS"/>
          <w:b/>
          <w:i/>
          <w:sz w:val="28"/>
        </w:rPr>
        <w:t>,</w:t>
      </w:r>
      <w:r>
        <w:rPr>
          <w:rFonts w:ascii="Comic Sans MS" w:hAnsi="Comic Sans MS"/>
          <w:sz w:val="28"/>
        </w:rPr>
        <w:t xml:space="preserve"> некрозно-раковые и сосудистые, такие как тиростромоз липы и вяза мелколистного, сосудистый микоз (графиоз) вяза, нектриевые некрозы лиственных пород (каштан, рябина и др.), цитоспороз тополя, яблони. Эти болезни вызывают ослабление, потерю декоративности и усыхание многих древесных видов. Их распространению способствуют слабый контроль за фитосанитарным состоянием посадочного материала в питом</w:t>
      </w:r>
      <w:r>
        <w:rPr>
          <w:rFonts w:ascii="Comic Sans MS" w:hAnsi="Comic Sans MS"/>
          <w:sz w:val="28"/>
        </w:rPr>
        <w:softHyphen/>
        <w:t>никах и недостаточные санитарные рубки в очагах болезней.</w:t>
      </w:r>
    </w:p>
    <w:p w:rsidR="00FD5E06" w:rsidRDefault="00FD5E06">
      <w:pPr>
        <w:pStyle w:val="20"/>
        <w:spacing w:line="281" w:lineRule="auto"/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Часто встречались гнилевые болезни лиственных пород (особенно на старовозрастных де</w:t>
      </w:r>
      <w:r>
        <w:rPr>
          <w:rFonts w:ascii="Comic Sans MS" w:hAnsi="Comic Sans MS"/>
          <w:sz w:val="28"/>
        </w:rPr>
        <w:softHyphen/>
        <w:t>ревьях) что часто является причиной их ветровала и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8"/>
        </w:rPr>
        <w:t>бурелома. Сильно снижали декоративность многих лиственных видов болезни листьев (мучнистая роса/ пятнистость и др.).</w:t>
      </w:r>
    </w:p>
    <w:p w:rsidR="00FD5E06" w:rsidRDefault="00FD5E06">
      <w:pPr>
        <w:spacing w:line="280" w:lineRule="auto"/>
        <w:ind w:left="40" w:firstLine="540"/>
        <w:jc w:val="both"/>
        <w:rPr>
          <w:rFonts w:ascii="Arial" w:hAnsi="Arial"/>
          <w:sz w:val="22"/>
        </w:rPr>
      </w:pPr>
    </w:p>
    <w:p w:rsidR="00FD5E06" w:rsidRDefault="00FD5E06">
      <w:pPr>
        <w:ind w:firstLine="567"/>
        <w:jc w:val="both"/>
        <w:rPr>
          <w:rFonts w:ascii="Arial" w:hAnsi="Arial"/>
          <w:sz w:val="22"/>
        </w:rPr>
      </w:pPr>
    </w:p>
    <w:p w:rsidR="00FD5E06" w:rsidRDefault="00FD5E06">
      <w:pPr>
        <w:pStyle w:val="a3"/>
        <w:rPr>
          <w:rFonts w:ascii="Arial" w:hAnsi="Arial"/>
          <w:sz w:val="22"/>
        </w:rPr>
      </w:pPr>
    </w:p>
    <w:p w:rsidR="00FD5E06" w:rsidRDefault="00FD5E06">
      <w:pPr>
        <w:ind w:firstLine="284"/>
        <w:jc w:val="both"/>
        <w:rPr>
          <w:rFonts w:ascii="Arial" w:hAnsi="Arial"/>
          <w:sz w:val="22"/>
        </w:rPr>
      </w:pPr>
      <w:bookmarkStart w:id="1" w:name="_GoBack"/>
      <w:bookmarkEnd w:id="1"/>
    </w:p>
    <w:sectPr w:rsidR="00FD5E06">
      <w:pgSz w:w="11906" w:h="16838"/>
      <w:pgMar w:top="709" w:right="1416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6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18699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74C672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3C4F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1712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9D59F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E8751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AD962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542C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CE857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9D50F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91E19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51D5C4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7DD3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D7247F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DFC730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BB"/>
    <w:rsid w:val="00683A9F"/>
    <w:rsid w:val="008903B7"/>
    <w:rsid w:val="009B78BB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DEF3AC-A873-41F6-A12F-11C36F69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5812"/>
      </w:tabs>
      <w:ind w:firstLine="284"/>
      <w:jc w:val="both"/>
    </w:pPr>
  </w:style>
  <w:style w:type="paragraph" w:styleId="a4">
    <w:name w:val="Body Text"/>
    <w:basedOn w:val="a"/>
    <w:semiHidden/>
    <w:rPr>
      <w:rFonts w:ascii="Arial" w:hAnsi="Arial"/>
      <w:sz w:val="16"/>
    </w:rPr>
  </w:style>
  <w:style w:type="paragraph" w:styleId="20">
    <w:name w:val="Body Text 2"/>
    <w:basedOn w:val="a"/>
    <w:semiHidden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semiHidden/>
    <w:pPr>
      <w:ind w:firstLine="567"/>
      <w:jc w:val="both"/>
    </w:pPr>
    <w:rPr>
      <w:rFonts w:ascii="Arial" w:hAnsi="Arial"/>
      <w:sz w:val="22"/>
    </w:rPr>
  </w:style>
  <w:style w:type="paragraph" w:customStyle="1" w:styleId="FR3">
    <w:name w:val="FR3"/>
    <w:pPr>
      <w:widowControl w:val="0"/>
      <w:spacing w:before="80" w:after="220" w:line="280" w:lineRule="auto"/>
      <w:ind w:left="1720" w:right="1600"/>
      <w:jc w:val="center"/>
    </w:pPr>
    <w:rPr>
      <w:b/>
    </w:rPr>
  </w:style>
  <w:style w:type="paragraph" w:styleId="30">
    <w:name w:val="Body Text 3"/>
    <w:basedOn w:val="a"/>
    <w:semiHidden/>
    <w:pPr>
      <w:spacing w:before="380"/>
      <w:jc w:val="center"/>
    </w:pPr>
    <w:rPr>
      <w:rFonts w:ascii="Arial" w:hAnsi="Arial"/>
      <w:i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данным Центра государственного санитарно-эпидемиологического надзора, увеличивающееся загрязнение окружающей среды города способствует росту распространенности хронических болезней органов дыхания, которые в 1997 г</vt:lpstr>
    </vt:vector>
  </TitlesOfParts>
  <Company>Elcom Ltd</Company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данным Центра государственного санитарно-эпидемиологического надзора, увеличивающееся загрязнение окружающей среды города способствует росту распространенности хронических болезней органов дыхания, которые в 1997 г</dc:title>
  <dc:subject/>
  <dc:creator>некто</dc:creator>
  <cp:keywords/>
  <dc:description/>
  <cp:lastModifiedBy>Irina</cp:lastModifiedBy>
  <cp:revision>2</cp:revision>
  <cp:lastPrinted>2000-12-23T15:30:00Z</cp:lastPrinted>
  <dcterms:created xsi:type="dcterms:W3CDTF">2014-08-03T16:48:00Z</dcterms:created>
  <dcterms:modified xsi:type="dcterms:W3CDTF">2014-08-03T16:48:00Z</dcterms:modified>
</cp:coreProperties>
</file>