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B24" w:rsidRPr="00426070" w:rsidRDefault="00482B24" w:rsidP="00482B24">
      <w:pPr>
        <w:jc w:val="center"/>
        <w:rPr>
          <w:b/>
        </w:rPr>
      </w:pPr>
      <w:r w:rsidRPr="00426070">
        <w:rPr>
          <w:b/>
        </w:rPr>
        <w:t>МИНИСТЕРСТВО ОБРАЗОВАНИЯ РОССИЙСКОЙ  ФЕДЕРАЦИИ</w:t>
      </w:r>
    </w:p>
    <w:p w:rsidR="00482B24" w:rsidRPr="00426070" w:rsidRDefault="00482B24" w:rsidP="00482B24">
      <w:pPr>
        <w:jc w:val="center"/>
        <w:rPr>
          <w:b/>
        </w:rPr>
      </w:pPr>
      <w:r w:rsidRPr="00426070">
        <w:rPr>
          <w:b/>
        </w:rPr>
        <w:t>ДАЛЬНЕВОСТОЧНЫЙ ГОСУДАРСТВЕННЫЙ УНИВЕРСИТЕТ</w:t>
      </w:r>
    </w:p>
    <w:p w:rsidR="00482B24" w:rsidRPr="00426070" w:rsidRDefault="00482B24" w:rsidP="00482B24">
      <w:pPr>
        <w:jc w:val="center"/>
        <w:rPr>
          <w:b/>
        </w:rPr>
      </w:pPr>
      <w:r w:rsidRPr="00426070">
        <w:rPr>
          <w:b/>
        </w:rPr>
        <w:t>ЮРИДИЧЕСКИЙ ИНСТИТУТ</w:t>
      </w:r>
    </w:p>
    <w:p w:rsidR="00482B24" w:rsidRDefault="00482B24" w:rsidP="00482B24">
      <w:pPr>
        <w:jc w:val="center"/>
        <w:outlineLvl w:val="4"/>
        <w:rPr>
          <w:rFonts w:ascii="Verdana" w:hAnsi="Verdana"/>
          <w:b/>
          <w:sz w:val="18"/>
          <w:szCs w:val="18"/>
        </w:rPr>
      </w:pPr>
    </w:p>
    <w:p w:rsidR="00482B24" w:rsidRDefault="00482B24" w:rsidP="00482B24">
      <w:pPr>
        <w:jc w:val="center"/>
        <w:outlineLvl w:val="4"/>
        <w:rPr>
          <w:rFonts w:ascii="Verdana" w:hAnsi="Verdana"/>
          <w:b/>
          <w:sz w:val="18"/>
          <w:szCs w:val="18"/>
        </w:rPr>
      </w:pPr>
    </w:p>
    <w:p w:rsidR="00482B24" w:rsidRDefault="00482B24" w:rsidP="00482B24">
      <w:pPr>
        <w:jc w:val="center"/>
        <w:outlineLvl w:val="4"/>
        <w:rPr>
          <w:rFonts w:ascii="Verdana" w:hAnsi="Verdana"/>
          <w:b/>
          <w:sz w:val="18"/>
          <w:szCs w:val="18"/>
        </w:rPr>
      </w:pPr>
    </w:p>
    <w:p w:rsidR="00482B24" w:rsidRDefault="00482B24" w:rsidP="00482B24">
      <w:pPr>
        <w:jc w:val="center"/>
        <w:outlineLvl w:val="4"/>
        <w:rPr>
          <w:rFonts w:ascii="Verdana" w:hAnsi="Verdana"/>
          <w:b/>
          <w:sz w:val="18"/>
          <w:szCs w:val="18"/>
        </w:rPr>
      </w:pPr>
    </w:p>
    <w:p w:rsidR="00482B24" w:rsidRPr="004E6F9D" w:rsidRDefault="00482B24" w:rsidP="00482B24">
      <w:pPr>
        <w:ind w:left="708" w:firstLine="708"/>
        <w:jc w:val="right"/>
        <w:outlineLvl w:val="4"/>
        <w:rPr>
          <w:rFonts w:ascii="Verdana" w:hAnsi="Verdana"/>
        </w:rPr>
      </w:pPr>
      <w:r w:rsidRPr="004E6F9D">
        <w:rPr>
          <w:rFonts w:ascii="Verdana" w:hAnsi="Verdana"/>
        </w:rPr>
        <w:t>Кафедра теории и истории</w:t>
      </w:r>
    </w:p>
    <w:p w:rsidR="00482B24" w:rsidRPr="004E6F9D" w:rsidRDefault="00482B24" w:rsidP="00482B24">
      <w:pPr>
        <w:jc w:val="right"/>
        <w:rPr>
          <w:rFonts w:ascii="Verdana" w:hAnsi="Verdana"/>
        </w:rPr>
      </w:pPr>
      <w:r w:rsidRPr="004E6F9D">
        <w:rPr>
          <w:rFonts w:ascii="Verdana" w:hAnsi="Verdana"/>
        </w:rPr>
        <w:t>государства и права</w:t>
      </w:r>
    </w:p>
    <w:p w:rsidR="00482B24" w:rsidRPr="00426070" w:rsidRDefault="00482B24" w:rsidP="00482B24">
      <w:pPr>
        <w:jc w:val="both"/>
        <w:rPr>
          <w:rFonts w:ascii="Verdana" w:hAnsi="Verdana"/>
          <w:sz w:val="18"/>
          <w:szCs w:val="18"/>
        </w:rPr>
      </w:pPr>
    </w:p>
    <w:p w:rsidR="00482B24" w:rsidRPr="00173B59" w:rsidRDefault="00482B24" w:rsidP="00482B24">
      <w:pPr>
        <w:jc w:val="both"/>
        <w:rPr>
          <w:rFonts w:ascii="Verdana" w:hAnsi="Verdana"/>
          <w:sz w:val="18"/>
          <w:szCs w:val="18"/>
        </w:rPr>
      </w:pPr>
    </w:p>
    <w:p w:rsidR="00482B24" w:rsidRPr="00173B59"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Default="00482B24" w:rsidP="00482B24">
      <w:pPr>
        <w:jc w:val="both"/>
        <w:rPr>
          <w:rFonts w:ascii="Verdana" w:hAnsi="Verdana"/>
          <w:sz w:val="18"/>
          <w:szCs w:val="18"/>
        </w:rPr>
      </w:pPr>
    </w:p>
    <w:p w:rsidR="00482B24" w:rsidRDefault="00482B24" w:rsidP="00482B24">
      <w:pPr>
        <w:jc w:val="both"/>
        <w:rPr>
          <w:rFonts w:ascii="Verdana" w:hAnsi="Verdana"/>
          <w:sz w:val="18"/>
          <w:szCs w:val="18"/>
        </w:rPr>
      </w:pPr>
    </w:p>
    <w:p w:rsidR="00482B24"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36"/>
          <w:szCs w:val="36"/>
        </w:rPr>
      </w:pPr>
    </w:p>
    <w:p w:rsidR="00482B24" w:rsidRPr="00426070" w:rsidRDefault="00482B24" w:rsidP="00482B24">
      <w:pPr>
        <w:jc w:val="center"/>
        <w:rPr>
          <w:sz w:val="36"/>
          <w:szCs w:val="36"/>
        </w:rPr>
      </w:pPr>
      <w:r w:rsidRPr="00426070">
        <w:rPr>
          <w:b/>
          <w:sz w:val="36"/>
          <w:szCs w:val="36"/>
        </w:rPr>
        <w:t>Золотая Булла 1356 г</w:t>
      </w:r>
      <w:r w:rsidRPr="00426070">
        <w:rPr>
          <w:sz w:val="36"/>
          <w:szCs w:val="36"/>
        </w:rPr>
        <w:t>.</w:t>
      </w:r>
    </w:p>
    <w:p w:rsidR="00482B24" w:rsidRPr="00426070" w:rsidRDefault="00482B24" w:rsidP="00482B24">
      <w:pPr>
        <w:jc w:val="both"/>
        <w:rPr>
          <w:sz w:val="36"/>
          <w:szCs w:val="36"/>
        </w:rPr>
      </w:pPr>
    </w:p>
    <w:p w:rsidR="00482B24" w:rsidRPr="00426070" w:rsidRDefault="00482B24" w:rsidP="00482B24">
      <w:pPr>
        <w:jc w:val="both"/>
        <w:rPr>
          <w:rFonts w:ascii="Verdana" w:hAnsi="Verdana"/>
          <w:sz w:val="36"/>
          <w:szCs w:val="36"/>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Default="00482B24" w:rsidP="00482B24">
      <w:pPr>
        <w:jc w:val="both"/>
        <w:rPr>
          <w:rFonts w:ascii="Verdana" w:hAnsi="Verdana"/>
          <w:sz w:val="18"/>
          <w:szCs w:val="18"/>
        </w:rPr>
      </w:pPr>
    </w:p>
    <w:p w:rsidR="00482B24"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426070" w:rsidRDefault="00482B24" w:rsidP="00482B24">
      <w:pPr>
        <w:jc w:val="both"/>
        <w:rPr>
          <w:rFonts w:ascii="Verdana" w:hAnsi="Verdana"/>
          <w:sz w:val="18"/>
          <w:szCs w:val="18"/>
        </w:rPr>
      </w:pPr>
    </w:p>
    <w:p w:rsidR="00482B24" w:rsidRPr="00D32B54" w:rsidRDefault="00482B24" w:rsidP="00482B24">
      <w:pPr>
        <w:jc w:val="right"/>
        <w:rPr>
          <w:rFonts w:ascii="Verdana" w:hAnsi="Verdana"/>
          <w:sz w:val="22"/>
          <w:szCs w:val="22"/>
        </w:rPr>
      </w:pPr>
      <w:r w:rsidRPr="00D32B54">
        <w:rPr>
          <w:rFonts w:ascii="Verdana" w:hAnsi="Verdana"/>
          <w:sz w:val="22"/>
          <w:szCs w:val="22"/>
        </w:rPr>
        <w:t>Курсовая работа</w:t>
      </w:r>
    </w:p>
    <w:p w:rsidR="00482B24" w:rsidRPr="00D32B54" w:rsidRDefault="00482B24" w:rsidP="00482B24">
      <w:pPr>
        <w:jc w:val="right"/>
        <w:rPr>
          <w:rFonts w:ascii="Verdana" w:hAnsi="Verdana"/>
          <w:sz w:val="22"/>
          <w:szCs w:val="22"/>
        </w:rPr>
      </w:pPr>
      <w:r w:rsidRPr="00D32B54">
        <w:rPr>
          <w:rFonts w:ascii="Verdana" w:hAnsi="Verdana"/>
          <w:sz w:val="22"/>
          <w:szCs w:val="22"/>
        </w:rPr>
        <w:t>по истории государства и права</w:t>
      </w:r>
    </w:p>
    <w:p w:rsidR="00482B24" w:rsidRPr="00D32B54" w:rsidRDefault="00482B24" w:rsidP="00482B24">
      <w:pPr>
        <w:jc w:val="right"/>
        <w:rPr>
          <w:rFonts w:ascii="Verdana" w:hAnsi="Verdana"/>
          <w:sz w:val="22"/>
          <w:szCs w:val="22"/>
        </w:rPr>
      </w:pPr>
      <w:r w:rsidRPr="00D32B54">
        <w:rPr>
          <w:rFonts w:ascii="Verdana" w:hAnsi="Verdana"/>
          <w:sz w:val="22"/>
          <w:szCs w:val="22"/>
        </w:rPr>
        <w:t>1 семестр</w:t>
      </w:r>
    </w:p>
    <w:p w:rsidR="00482B24" w:rsidRPr="00D32B54" w:rsidRDefault="00482B24" w:rsidP="00482B24">
      <w:pPr>
        <w:jc w:val="right"/>
        <w:rPr>
          <w:rFonts w:ascii="Verdana" w:hAnsi="Verdana"/>
          <w:sz w:val="22"/>
          <w:szCs w:val="22"/>
        </w:rPr>
      </w:pPr>
      <w:r w:rsidRPr="00D32B54">
        <w:rPr>
          <w:rFonts w:ascii="Verdana" w:hAnsi="Verdana"/>
          <w:sz w:val="22"/>
          <w:szCs w:val="22"/>
        </w:rPr>
        <w:t>студента 1 курса</w:t>
      </w:r>
    </w:p>
    <w:p w:rsidR="00482B24" w:rsidRPr="00D32B54" w:rsidRDefault="00482B24" w:rsidP="00482B24">
      <w:pPr>
        <w:jc w:val="right"/>
        <w:rPr>
          <w:rFonts w:ascii="Verdana" w:hAnsi="Verdana"/>
          <w:sz w:val="22"/>
          <w:szCs w:val="22"/>
        </w:rPr>
      </w:pPr>
      <w:r w:rsidRPr="00D32B54">
        <w:rPr>
          <w:rFonts w:ascii="Verdana" w:hAnsi="Verdana"/>
          <w:sz w:val="22"/>
          <w:szCs w:val="22"/>
        </w:rPr>
        <w:t>заочного факультета</w:t>
      </w:r>
    </w:p>
    <w:p w:rsidR="00482B24" w:rsidRPr="00D32B54" w:rsidRDefault="00482B24" w:rsidP="00482B24">
      <w:pPr>
        <w:jc w:val="right"/>
        <w:rPr>
          <w:rFonts w:ascii="Verdana" w:hAnsi="Verdana"/>
          <w:sz w:val="22"/>
          <w:szCs w:val="22"/>
        </w:rPr>
      </w:pPr>
      <w:r w:rsidRPr="00D32B54">
        <w:rPr>
          <w:rFonts w:ascii="Verdana" w:hAnsi="Verdana"/>
          <w:sz w:val="22"/>
          <w:szCs w:val="22"/>
        </w:rPr>
        <w:t>юридического института ДВГУ</w:t>
      </w:r>
    </w:p>
    <w:p w:rsidR="00482B24" w:rsidRPr="00D32B54" w:rsidRDefault="00482B24" w:rsidP="00482B24">
      <w:pPr>
        <w:jc w:val="right"/>
        <w:rPr>
          <w:rFonts w:ascii="Verdana" w:hAnsi="Verdana"/>
          <w:sz w:val="22"/>
          <w:szCs w:val="22"/>
        </w:rPr>
      </w:pPr>
      <w:r w:rsidRPr="00D32B54">
        <w:rPr>
          <w:rFonts w:ascii="Verdana" w:hAnsi="Verdana"/>
          <w:sz w:val="22"/>
          <w:szCs w:val="22"/>
        </w:rPr>
        <w:t>Симанович С.А.</w:t>
      </w:r>
    </w:p>
    <w:p w:rsidR="00482B24" w:rsidRPr="00D32B54" w:rsidRDefault="00482B24" w:rsidP="00482B24">
      <w:pPr>
        <w:jc w:val="right"/>
        <w:rPr>
          <w:rFonts w:ascii="Verdana" w:hAnsi="Verdana"/>
          <w:sz w:val="22"/>
          <w:szCs w:val="22"/>
        </w:rPr>
      </w:pPr>
    </w:p>
    <w:p w:rsidR="00482B24" w:rsidRPr="00D32B54" w:rsidRDefault="00482B24" w:rsidP="00482B24">
      <w:pPr>
        <w:jc w:val="right"/>
        <w:rPr>
          <w:rFonts w:ascii="Verdana" w:hAnsi="Verdana"/>
          <w:sz w:val="22"/>
          <w:szCs w:val="22"/>
        </w:rPr>
      </w:pPr>
    </w:p>
    <w:p w:rsidR="00482B24" w:rsidRPr="00D32B54" w:rsidRDefault="00482B24" w:rsidP="00482B24">
      <w:pPr>
        <w:jc w:val="right"/>
        <w:rPr>
          <w:rFonts w:ascii="Verdana" w:hAnsi="Verdana"/>
          <w:b/>
          <w:sz w:val="22"/>
          <w:szCs w:val="22"/>
        </w:rPr>
      </w:pPr>
      <w:r w:rsidRPr="00D32B54">
        <w:rPr>
          <w:rFonts w:ascii="Verdana" w:hAnsi="Verdana"/>
          <w:b/>
          <w:sz w:val="22"/>
          <w:szCs w:val="22"/>
        </w:rPr>
        <w:t>Научный руководитель</w:t>
      </w:r>
    </w:p>
    <w:p w:rsidR="00482B24" w:rsidRPr="00D32B54" w:rsidRDefault="00482B24" w:rsidP="00482B24">
      <w:pPr>
        <w:jc w:val="right"/>
        <w:rPr>
          <w:rFonts w:ascii="Verdana" w:hAnsi="Verdana"/>
          <w:sz w:val="22"/>
          <w:szCs w:val="22"/>
        </w:rPr>
      </w:pPr>
      <w:r w:rsidRPr="00D32B54">
        <w:rPr>
          <w:rFonts w:ascii="Verdana" w:hAnsi="Verdana"/>
          <w:sz w:val="22"/>
          <w:szCs w:val="22"/>
        </w:rPr>
        <w:t>к. ю.н, доцент</w:t>
      </w:r>
    </w:p>
    <w:p w:rsidR="00482B24" w:rsidRPr="00D32B54" w:rsidRDefault="00482B24" w:rsidP="00482B24">
      <w:pPr>
        <w:jc w:val="right"/>
        <w:rPr>
          <w:rFonts w:ascii="Verdana" w:hAnsi="Verdana"/>
          <w:b/>
          <w:i/>
          <w:sz w:val="22"/>
          <w:szCs w:val="22"/>
        </w:rPr>
      </w:pPr>
      <w:r w:rsidRPr="00D32B54">
        <w:rPr>
          <w:rFonts w:ascii="Verdana" w:hAnsi="Verdana"/>
          <w:sz w:val="22"/>
          <w:szCs w:val="22"/>
        </w:rPr>
        <w:t>Иванов А.М.</w:t>
      </w:r>
    </w:p>
    <w:p w:rsidR="00482B24" w:rsidRPr="00173B59" w:rsidRDefault="00482B24" w:rsidP="00482B24">
      <w:pPr>
        <w:jc w:val="right"/>
        <w:rPr>
          <w:rFonts w:ascii="Verdana" w:hAnsi="Verdana"/>
          <w:b/>
          <w:i/>
          <w:sz w:val="18"/>
          <w:szCs w:val="18"/>
        </w:rPr>
      </w:pPr>
    </w:p>
    <w:p w:rsidR="00482B24" w:rsidRPr="00173B59" w:rsidRDefault="00482B24" w:rsidP="00482B24">
      <w:pPr>
        <w:jc w:val="right"/>
        <w:rPr>
          <w:rFonts w:ascii="Verdana" w:hAnsi="Verdana"/>
          <w:b/>
          <w:i/>
          <w:sz w:val="18"/>
          <w:szCs w:val="18"/>
        </w:rPr>
      </w:pPr>
    </w:p>
    <w:p w:rsidR="00482B24" w:rsidRPr="004E6F9D" w:rsidRDefault="00482B24" w:rsidP="00482B24">
      <w:pPr>
        <w:jc w:val="right"/>
        <w:rPr>
          <w:rFonts w:ascii="Verdana" w:hAnsi="Verdana"/>
          <w:b/>
          <w:i/>
          <w:sz w:val="18"/>
          <w:szCs w:val="18"/>
        </w:rPr>
      </w:pPr>
    </w:p>
    <w:p w:rsidR="00482B24" w:rsidRPr="004E6F9D" w:rsidRDefault="00482B24" w:rsidP="00482B24">
      <w:pPr>
        <w:jc w:val="right"/>
        <w:rPr>
          <w:rFonts w:ascii="Verdana" w:hAnsi="Verdana"/>
          <w:b/>
          <w:i/>
          <w:sz w:val="18"/>
          <w:szCs w:val="18"/>
        </w:rPr>
      </w:pPr>
    </w:p>
    <w:p w:rsidR="00482B24" w:rsidRPr="004E6F9D" w:rsidRDefault="00482B24" w:rsidP="00482B24">
      <w:pPr>
        <w:jc w:val="right"/>
        <w:rPr>
          <w:rFonts w:ascii="Verdana" w:hAnsi="Verdana"/>
          <w:b/>
          <w:i/>
          <w:sz w:val="18"/>
          <w:szCs w:val="18"/>
        </w:rPr>
      </w:pPr>
    </w:p>
    <w:p w:rsidR="00482B24" w:rsidRPr="004E6F9D" w:rsidRDefault="00482B24" w:rsidP="00482B24">
      <w:pPr>
        <w:jc w:val="right"/>
        <w:rPr>
          <w:rFonts w:ascii="Verdana" w:hAnsi="Verdana"/>
          <w:b/>
          <w:i/>
          <w:sz w:val="18"/>
          <w:szCs w:val="18"/>
        </w:rPr>
      </w:pPr>
    </w:p>
    <w:p w:rsidR="00482B24" w:rsidRPr="004E6F9D" w:rsidRDefault="00482B24" w:rsidP="00482B24">
      <w:pPr>
        <w:rPr>
          <w:rFonts w:ascii="Verdana" w:hAnsi="Verdana"/>
          <w:b/>
          <w:i/>
          <w:sz w:val="18"/>
          <w:szCs w:val="18"/>
        </w:rPr>
      </w:pPr>
    </w:p>
    <w:p w:rsidR="00482B24" w:rsidRPr="004E6F9D" w:rsidRDefault="00482B24" w:rsidP="00482B24">
      <w:pPr>
        <w:jc w:val="right"/>
        <w:rPr>
          <w:rFonts w:ascii="Verdana" w:hAnsi="Verdana"/>
          <w:b/>
          <w:i/>
          <w:sz w:val="18"/>
          <w:szCs w:val="18"/>
        </w:rPr>
      </w:pPr>
    </w:p>
    <w:p w:rsidR="00482B24" w:rsidRPr="004E6F9D" w:rsidRDefault="00482B24" w:rsidP="00482B24">
      <w:pPr>
        <w:jc w:val="right"/>
        <w:rPr>
          <w:rFonts w:ascii="Verdana" w:hAnsi="Verdana"/>
          <w:b/>
          <w:i/>
          <w:sz w:val="18"/>
          <w:szCs w:val="18"/>
        </w:rPr>
      </w:pPr>
    </w:p>
    <w:p w:rsidR="00482B24" w:rsidRPr="00D32B54" w:rsidRDefault="00482B24" w:rsidP="00482B24">
      <w:pPr>
        <w:jc w:val="center"/>
        <w:rPr>
          <w:b/>
        </w:rPr>
      </w:pPr>
      <w:r w:rsidRPr="00D32B54">
        <w:rPr>
          <w:b/>
        </w:rPr>
        <w:t>Владивосток</w:t>
      </w:r>
    </w:p>
    <w:p w:rsidR="00482B24" w:rsidRPr="00D32B54" w:rsidRDefault="00482B24" w:rsidP="00482B24">
      <w:pPr>
        <w:jc w:val="center"/>
        <w:rPr>
          <w:b/>
        </w:rPr>
      </w:pPr>
      <w:r w:rsidRPr="00D32B54">
        <w:rPr>
          <w:b/>
        </w:rPr>
        <w:t>2004</w:t>
      </w:r>
    </w:p>
    <w:p w:rsidR="00482B24" w:rsidRPr="003A26FF" w:rsidRDefault="00482B24" w:rsidP="00482B24">
      <w:pPr>
        <w:jc w:val="center"/>
        <w:rPr>
          <w:sz w:val="22"/>
          <w:szCs w:val="22"/>
        </w:rPr>
      </w:pPr>
      <w:r w:rsidRPr="003A26FF">
        <w:rPr>
          <w:sz w:val="22"/>
          <w:szCs w:val="22"/>
        </w:rPr>
        <w:t>2</w:t>
      </w:r>
    </w:p>
    <w:p w:rsidR="00482B24" w:rsidRDefault="00482B24" w:rsidP="00482B24">
      <w:pPr>
        <w:jc w:val="center"/>
        <w:rPr>
          <w:b/>
          <w:sz w:val="32"/>
          <w:szCs w:val="32"/>
        </w:rPr>
      </w:pPr>
      <w:r w:rsidRPr="00D32B54">
        <w:rPr>
          <w:b/>
          <w:sz w:val="32"/>
          <w:szCs w:val="32"/>
        </w:rPr>
        <w:t>План</w:t>
      </w:r>
    </w:p>
    <w:p w:rsidR="00482B24" w:rsidRDefault="00482B24" w:rsidP="00482B24">
      <w:pPr>
        <w:jc w:val="center"/>
        <w:rPr>
          <w:b/>
          <w:sz w:val="32"/>
          <w:szCs w:val="32"/>
        </w:rPr>
      </w:pPr>
    </w:p>
    <w:p w:rsidR="00482B24" w:rsidRDefault="00482B24" w:rsidP="00482B24">
      <w:pPr>
        <w:jc w:val="center"/>
        <w:rPr>
          <w:b/>
          <w:sz w:val="32"/>
          <w:szCs w:val="32"/>
        </w:rPr>
      </w:pPr>
    </w:p>
    <w:p w:rsidR="00482B24" w:rsidRDefault="00482B24" w:rsidP="00482B24">
      <w:pPr>
        <w:rPr>
          <w:b/>
          <w:sz w:val="28"/>
          <w:szCs w:val="28"/>
        </w:rPr>
      </w:pPr>
      <w:r>
        <w:rPr>
          <w:b/>
          <w:sz w:val="28"/>
          <w:szCs w:val="28"/>
        </w:rPr>
        <w:t>Введение…………………………………………………………………3</w:t>
      </w:r>
    </w:p>
    <w:p w:rsidR="00482B24" w:rsidRDefault="00482B24" w:rsidP="00482B24">
      <w:pPr>
        <w:rPr>
          <w:sz w:val="28"/>
          <w:szCs w:val="28"/>
        </w:rPr>
      </w:pPr>
    </w:p>
    <w:p w:rsidR="00482B24" w:rsidRDefault="00482B24" w:rsidP="00482B24">
      <w:pPr>
        <w:rPr>
          <w:sz w:val="28"/>
          <w:szCs w:val="28"/>
        </w:rPr>
      </w:pPr>
      <w:r>
        <w:rPr>
          <w:sz w:val="28"/>
          <w:szCs w:val="28"/>
        </w:rPr>
        <w:t>Глава 1. Содержание «Золотой Буллы»………………………………..6</w:t>
      </w:r>
    </w:p>
    <w:p w:rsidR="00482B24" w:rsidRDefault="00482B24" w:rsidP="00482B24">
      <w:pPr>
        <w:rPr>
          <w:sz w:val="28"/>
          <w:szCs w:val="28"/>
        </w:rPr>
      </w:pPr>
    </w:p>
    <w:p w:rsidR="00482B24" w:rsidRDefault="00482B24" w:rsidP="00482B24">
      <w:pPr>
        <w:rPr>
          <w:sz w:val="28"/>
          <w:szCs w:val="28"/>
        </w:rPr>
      </w:pPr>
      <w:r>
        <w:rPr>
          <w:sz w:val="28"/>
          <w:szCs w:val="28"/>
        </w:rPr>
        <w:t>Глава 2. Исторические оценки «Золотой Буллы»……………………..9</w:t>
      </w:r>
    </w:p>
    <w:p w:rsidR="00482B24" w:rsidRDefault="00482B24" w:rsidP="00482B24">
      <w:pPr>
        <w:rPr>
          <w:sz w:val="28"/>
          <w:szCs w:val="28"/>
        </w:rPr>
      </w:pPr>
    </w:p>
    <w:p w:rsidR="00482B24" w:rsidRDefault="00482B24" w:rsidP="00482B24">
      <w:pPr>
        <w:rPr>
          <w:sz w:val="28"/>
          <w:szCs w:val="28"/>
        </w:rPr>
      </w:pPr>
      <w:r>
        <w:rPr>
          <w:sz w:val="28"/>
          <w:szCs w:val="28"/>
        </w:rPr>
        <w:t>Глава 3. Значение «Золотой Буллы»…………………………………...10</w:t>
      </w:r>
    </w:p>
    <w:p w:rsidR="00482B24" w:rsidRDefault="00482B24" w:rsidP="00482B24">
      <w:pPr>
        <w:rPr>
          <w:sz w:val="28"/>
          <w:szCs w:val="28"/>
        </w:rPr>
      </w:pPr>
    </w:p>
    <w:p w:rsidR="00482B24" w:rsidRDefault="00482B24" w:rsidP="00482B24">
      <w:pPr>
        <w:rPr>
          <w:b/>
          <w:sz w:val="28"/>
          <w:szCs w:val="28"/>
        </w:rPr>
      </w:pPr>
      <w:r w:rsidRPr="00D32B54">
        <w:rPr>
          <w:b/>
          <w:sz w:val="28"/>
          <w:szCs w:val="28"/>
        </w:rPr>
        <w:t>Заключение…………………………………………………………</w:t>
      </w:r>
      <w:r>
        <w:rPr>
          <w:b/>
          <w:sz w:val="28"/>
          <w:szCs w:val="28"/>
        </w:rPr>
        <w:t>…..13</w:t>
      </w:r>
    </w:p>
    <w:p w:rsidR="00482B24" w:rsidRDefault="00482B24" w:rsidP="00482B24">
      <w:pPr>
        <w:rPr>
          <w:b/>
          <w:sz w:val="28"/>
          <w:szCs w:val="28"/>
        </w:rPr>
      </w:pPr>
    </w:p>
    <w:p w:rsidR="00482B24" w:rsidRPr="00D32B54" w:rsidRDefault="00482B24" w:rsidP="00482B24">
      <w:pPr>
        <w:rPr>
          <w:b/>
          <w:sz w:val="28"/>
          <w:szCs w:val="28"/>
        </w:rPr>
      </w:pPr>
      <w:r>
        <w:rPr>
          <w:b/>
          <w:sz w:val="28"/>
          <w:szCs w:val="28"/>
        </w:rPr>
        <w:t>Список использованной литературы……………………………….14</w:t>
      </w: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482B24" w:rsidRDefault="00482B24" w:rsidP="0018391B">
      <w:pPr>
        <w:spacing w:line="360" w:lineRule="auto"/>
        <w:ind w:firstLine="708"/>
        <w:jc w:val="center"/>
        <w:rPr>
          <w:sz w:val="22"/>
          <w:szCs w:val="22"/>
        </w:rPr>
      </w:pPr>
    </w:p>
    <w:p w:rsidR="00711EC7" w:rsidRPr="00711EC7" w:rsidRDefault="00711EC7" w:rsidP="0018391B">
      <w:pPr>
        <w:spacing w:line="360" w:lineRule="auto"/>
        <w:ind w:firstLine="708"/>
        <w:jc w:val="center"/>
        <w:rPr>
          <w:sz w:val="22"/>
          <w:szCs w:val="22"/>
        </w:rPr>
      </w:pPr>
      <w:r>
        <w:rPr>
          <w:sz w:val="22"/>
          <w:szCs w:val="22"/>
        </w:rPr>
        <w:t>3</w:t>
      </w:r>
    </w:p>
    <w:p w:rsidR="00B46E4E" w:rsidRDefault="00A87FAD" w:rsidP="0018391B">
      <w:pPr>
        <w:spacing w:line="360" w:lineRule="auto"/>
        <w:ind w:firstLine="708"/>
        <w:jc w:val="center"/>
        <w:rPr>
          <w:rFonts w:ascii="Lucida Console" w:hAnsi="Lucida Console"/>
          <w:b/>
          <w:sz w:val="28"/>
          <w:szCs w:val="28"/>
        </w:rPr>
      </w:pPr>
      <w:r w:rsidRPr="00A87FAD">
        <w:rPr>
          <w:rFonts w:ascii="Lucida Console" w:hAnsi="Lucida Console"/>
          <w:b/>
          <w:sz w:val="28"/>
          <w:szCs w:val="28"/>
        </w:rPr>
        <w:t>Введение</w:t>
      </w:r>
    </w:p>
    <w:p w:rsidR="00A12CEC" w:rsidRDefault="00A12CEC" w:rsidP="0018391B">
      <w:pPr>
        <w:spacing w:line="360" w:lineRule="auto"/>
        <w:ind w:firstLine="708"/>
        <w:jc w:val="both"/>
        <w:rPr>
          <w:sz w:val="28"/>
          <w:szCs w:val="28"/>
        </w:rPr>
      </w:pPr>
      <w:r>
        <w:rPr>
          <w:sz w:val="28"/>
          <w:szCs w:val="28"/>
        </w:rPr>
        <w:t>Изучение «Золотой Буллы» дает возможность при свежем взгляде обнаружить какие-то новые детали, возможность по-новому их истолковать, или же рассмотреть давно введенный в научный оборот документ под новым углом зрения.</w:t>
      </w:r>
    </w:p>
    <w:p w:rsidR="00A12CEC" w:rsidRDefault="00A12CEC" w:rsidP="0018391B">
      <w:pPr>
        <w:spacing w:line="360" w:lineRule="auto"/>
        <w:ind w:firstLine="708"/>
        <w:jc w:val="both"/>
        <w:rPr>
          <w:sz w:val="28"/>
          <w:szCs w:val="28"/>
        </w:rPr>
      </w:pPr>
      <w:r>
        <w:rPr>
          <w:sz w:val="28"/>
          <w:szCs w:val="28"/>
        </w:rPr>
        <w:t>Сделать это представляется возможным и необходимым, т.к. проблемы социально-политической эволюции германских территорий в 13-15 вв. продолжают оставаться изученными недостаточно, а также постановка вопроса об исторически-прогрессивных аспектах «Золотой Буллы» продолжают оставаться</w:t>
      </w:r>
      <w:r w:rsidR="00711EC7">
        <w:rPr>
          <w:sz w:val="28"/>
          <w:szCs w:val="28"/>
        </w:rPr>
        <w:t xml:space="preserve"> актуальными в строго научном и познавательном плане.</w:t>
      </w:r>
    </w:p>
    <w:p w:rsidR="00A87FAD" w:rsidRDefault="00A87FAD" w:rsidP="0018391B">
      <w:pPr>
        <w:spacing w:line="360" w:lineRule="auto"/>
        <w:ind w:firstLine="708"/>
        <w:jc w:val="both"/>
        <w:rPr>
          <w:sz w:val="28"/>
          <w:szCs w:val="28"/>
        </w:rPr>
      </w:pPr>
      <w:r w:rsidRPr="00A87FAD">
        <w:rPr>
          <w:sz w:val="28"/>
          <w:szCs w:val="28"/>
        </w:rPr>
        <w:t>«З</w:t>
      </w:r>
      <w:r>
        <w:rPr>
          <w:sz w:val="28"/>
          <w:szCs w:val="28"/>
        </w:rPr>
        <w:t xml:space="preserve">олотой буллой» назывался имперский закон, регулировавший избрание германских королей и будущих императоров, права курфюрстов. Обсуждение и принятие этого закона проходило в Нюрнберге (1355 – 1356) и в Метце (декабрь 1356 – январь 1357) . Закон, который провозгласили, сначала не имел собственного названия. Оно появилось </w:t>
      </w:r>
      <w:r w:rsidR="00AA0817">
        <w:rPr>
          <w:sz w:val="28"/>
          <w:szCs w:val="28"/>
        </w:rPr>
        <w:t>позже,</w:t>
      </w:r>
      <w:r>
        <w:rPr>
          <w:sz w:val="28"/>
          <w:szCs w:val="28"/>
        </w:rPr>
        <w:t xml:space="preserve"> и источник его происхождения связан с привешенной к нему золотой печати. </w:t>
      </w:r>
    </w:p>
    <w:p w:rsidR="00501E5E" w:rsidRDefault="00501E5E" w:rsidP="0018391B">
      <w:pPr>
        <w:spacing w:line="360" w:lineRule="auto"/>
        <w:ind w:firstLine="708"/>
        <w:jc w:val="both"/>
        <w:rPr>
          <w:sz w:val="28"/>
          <w:szCs w:val="28"/>
        </w:rPr>
      </w:pPr>
      <w:r>
        <w:rPr>
          <w:sz w:val="28"/>
          <w:szCs w:val="28"/>
        </w:rPr>
        <w:t>О значение документа свидетельствует наличие свыше 60 латинских рукописей; сохранилось более 40 переводов на немецкий язык. Было издано 3 латинских и 6 немецких инкунабул. Большинство экземпляров сохранилось.</w:t>
      </w:r>
    </w:p>
    <w:p w:rsidR="00501E5E" w:rsidRDefault="00501E5E" w:rsidP="0018391B">
      <w:pPr>
        <w:spacing w:line="360" w:lineRule="auto"/>
        <w:ind w:firstLine="708"/>
        <w:jc w:val="both"/>
        <w:rPr>
          <w:sz w:val="28"/>
          <w:szCs w:val="28"/>
        </w:rPr>
      </w:pPr>
      <w:r>
        <w:rPr>
          <w:sz w:val="28"/>
          <w:szCs w:val="28"/>
        </w:rPr>
        <w:t>Обратим внимание на оценку роли и значения «Золотой Буллы» в процессе изучения социально – политического развития германских территорий, зависевшую от многих факторов.</w:t>
      </w:r>
    </w:p>
    <w:p w:rsidR="00711EC7" w:rsidRDefault="00501E5E" w:rsidP="0018391B">
      <w:pPr>
        <w:spacing w:line="360" w:lineRule="auto"/>
        <w:ind w:firstLine="708"/>
        <w:jc w:val="both"/>
        <w:rPr>
          <w:sz w:val="28"/>
          <w:szCs w:val="28"/>
        </w:rPr>
      </w:pPr>
      <w:r>
        <w:rPr>
          <w:sz w:val="28"/>
          <w:szCs w:val="28"/>
        </w:rPr>
        <w:t xml:space="preserve">И.В.Гете вспоминает, что Иоганн Даниэль Оленшлагер, работавший над комментариями к булле, говорил о «ценности и большом значении» этого документа. Гете воспроизводит реакцию Оленшлагера, когда был процитирован Пролог буллы: «Всякое государство, которое раздирается изнутри, погибнет, поскольку его князья стали пособниками разбойников. Умный человек, улыбаясь, покачивает головой и произносит: Что же это были </w:t>
      </w:r>
    </w:p>
    <w:p w:rsidR="00711EC7" w:rsidRDefault="00711EC7" w:rsidP="0018391B">
      <w:pPr>
        <w:spacing w:line="360" w:lineRule="auto"/>
        <w:ind w:firstLine="708"/>
        <w:jc w:val="both"/>
        <w:rPr>
          <w:sz w:val="28"/>
          <w:szCs w:val="28"/>
        </w:rPr>
      </w:pPr>
    </w:p>
    <w:p w:rsidR="00711EC7" w:rsidRPr="00711EC7" w:rsidRDefault="00711EC7" w:rsidP="00711EC7">
      <w:pPr>
        <w:spacing w:line="360" w:lineRule="auto"/>
        <w:ind w:firstLine="708"/>
        <w:jc w:val="center"/>
        <w:rPr>
          <w:sz w:val="22"/>
          <w:szCs w:val="22"/>
        </w:rPr>
      </w:pPr>
      <w:r w:rsidRPr="00711EC7">
        <w:rPr>
          <w:sz w:val="22"/>
          <w:szCs w:val="22"/>
        </w:rPr>
        <w:t>4</w:t>
      </w:r>
    </w:p>
    <w:p w:rsidR="00501E5E" w:rsidRDefault="00501E5E" w:rsidP="0018391B">
      <w:pPr>
        <w:spacing w:line="360" w:lineRule="auto"/>
        <w:ind w:firstLine="708"/>
        <w:jc w:val="both"/>
        <w:rPr>
          <w:sz w:val="28"/>
          <w:szCs w:val="28"/>
        </w:rPr>
      </w:pPr>
      <w:r>
        <w:rPr>
          <w:sz w:val="28"/>
          <w:szCs w:val="28"/>
        </w:rPr>
        <w:t>за времена, если император на имперском собрании мог открыто высказать князьям подобное?»</w:t>
      </w:r>
      <w:r>
        <w:rPr>
          <w:rStyle w:val="a4"/>
          <w:sz w:val="28"/>
          <w:szCs w:val="28"/>
        </w:rPr>
        <w:footnoteReference w:id="1"/>
      </w:r>
      <w:r>
        <w:rPr>
          <w:sz w:val="28"/>
          <w:szCs w:val="28"/>
        </w:rPr>
        <w:t xml:space="preserve">  </w:t>
      </w:r>
    </w:p>
    <w:p w:rsidR="00AA0817" w:rsidRDefault="00AA0817" w:rsidP="0018391B">
      <w:pPr>
        <w:spacing w:line="360" w:lineRule="auto"/>
        <w:ind w:firstLine="708"/>
        <w:jc w:val="both"/>
        <w:rPr>
          <w:sz w:val="28"/>
          <w:szCs w:val="28"/>
        </w:rPr>
      </w:pPr>
      <w:r>
        <w:rPr>
          <w:sz w:val="28"/>
          <w:szCs w:val="28"/>
        </w:rPr>
        <w:t>Гете цитировал латинский оригинал буллы: «Всякое государство, раздираемое изнутри, погибнет…». Однако данный приговор не принадлежит составителям документа. Это цитированное место из Евангелия от Луки : «Всякое царство, разделившееся само в себе, опустеет, и дом, разделившийся сам в себе, падет».</w:t>
      </w:r>
    </w:p>
    <w:p w:rsidR="00AA0817" w:rsidRDefault="00AA0817" w:rsidP="0018391B">
      <w:pPr>
        <w:spacing w:line="360" w:lineRule="auto"/>
        <w:ind w:firstLine="708"/>
        <w:jc w:val="both"/>
        <w:rPr>
          <w:sz w:val="28"/>
          <w:szCs w:val="28"/>
        </w:rPr>
      </w:pPr>
      <w:r>
        <w:rPr>
          <w:sz w:val="28"/>
          <w:szCs w:val="28"/>
        </w:rPr>
        <w:t xml:space="preserve">Несколько иначе трактовалась булла в начале </w:t>
      </w:r>
      <w:r>
        <w:rPr>
          <w:sz w:val="28"/>
          <w:szCs w:val="28"/>
          <w:lang w:val="en-US"/>
        </w:rPr>
        <w:t>XIX</w:t>
      </w:r>
      <w:r>
        <w:rPr>
          <w:sz w:val="28"/>
          <w:szCs w:val="28"/>
        </w:rPr>
        <w:t xml:space="preserve"> века. «Г.Гейне в очерке о Людвиге Берне рассказывает о желании своего друга взглянуть на документ. Затем он называет его недостойным пергаментом, на котором написано о распродаже империи и заключает: Нет, не будем смотреть это жалкий контракт, погубивший Германию».</w:t>
      </w:r>
      <w:r>
        <w:rPr>
          <w:rStyle w:val="a4"/>
          <w:sz w:val="28"/>
          <w:szCs w:val="28"/>
        </w:rPr>
        <w:footnoteReference w:id="2"/>
      </w:r>
    </w:p>
    <w:p w:rsidR="0018391B" w:rsidRDefault="0018391B" w:rsidP="0018391B">
      <w:pPr>
        <w:spacing w:line="360" w:lineRule="auto"/>
        <w:ind w:firstLine="708"/>
        <w:jc w:val="both"/>
        <w:rPr>
          <w:sz w:val="28"/>
          <w:szCs w:val="28"/>
        </w:rPr>
      </w:pPr>
      <w:r>
        <w:rPr>
          <w:sz w:val="28"/>
          <w:szCs w:val="28"/>
        </w:rPr>
        <w:t>Булла устранила влияние папы в избрании королей</w:t>
      </w:r>
      <w:r w:rsidR="00C47963">
        <w:rPr>
          <w:sz w:val="28"/>
          <w:szCs w:val="28"/>
        </w:rPr>
        <w:t xml:space="preserve">, она этот вопрос просто обошла молчанием. Это объясняется тем, что «Золотая Булла» была издана как раз в период, когда Франция терпела поражение в Столетней войне. Городам запрещала прием граждан извне в свою среду. </w:t>
      </w:r>
    </w:p>
    <w:p w:rsidR="00C47963" w:rsidRDefault="00C47963" w:rsidP="0018391B">
      <w:pPr>
        <w:spacing w:line="360" w:lineRule="auto"/>
        <w:ind w:firstLine="708"/>
        <w:jc w:val="both"/>
        <w:rPr>
          <w:sz w:val="28"/>
          <w:szCs w:val="28"/>
        </w:rPr>
      </w:pPr>
      <w:r>
        <w:rPr>
          <w:sz w:val="28"/>
          <w:szCs w:val="28"/>
        </w:rPr>
        <w:t>Главным образом содержание буллы касалось избрания римских королей, а также прав курфюрстов. В ней перечисляются все главные избиратели, избрание императора решается большинством. «Тем не менее уже «Швабское зерцало» указывало, что большинство голосов среди курфюрстов решает выбор императора».</w:t>
      </w:r>
      <w:r>
        <w:rPr>
          <w:rStyle w:val="a4"/>
          <w:sz w:val="28"/>
          <w:szCs w:val="28"/>
        </w:rPr>
        <w:footnoteReference w:id="3"/>
      </w:r>
      <w:r w:rsidR="0001323F">
        <w:rPr>
          <w:sz w:val="28"/>
          <w:szCs w:val="28"/>
        </w:rPr>
        <w:t xml:space="preserve"> </w:t>
      </w:r>
    </w:p>
    <w:p w:rsidR="0001323F" w:rsidRDefault="0001323F" w:rsidP="0018391B">
      <w:pPr>
        <w:spacing w:line="360" w:lineRule="auto"/>
        <w:ind w:firstLine="708"/>
        <w:jc w:val="both"/>
        <w:rPr>
          <w:sz w:val="28"/>
          <w:szCs w:val="28"/>
        </w:rPr>
      </w:pPr>
      <w:r>
        <w:rPr>
          <w:sz w:val="28"/>
          <w:szCs w:val="28"/>
        </w:rPr>
        <w:t>В хронологических выписках Маркса этот акт называется «основным законом немецкого многовластия».</w:t>
      </w:r>
      <w:r>
        <w:rPr>
          <w:rStyle w:val="a4"/>
          <w:sz w:val="28"/>
          <w:szCs w:val="28"/>
        </w:rPr>
        <w:footnoteReference w:id="4"/>
      </w:r>
      <w:r>
        <w:rPr>
          <w:sz w:val="28"/>
          <w:szCs w:val="28"/>
        </w:rPr>
        <w:t xml:space="preserve"> Если и можно так говорить о «Золотой Булле», то лишь постольку, поскольку в сформулированной в ней идее суверенитета курфюрстов она и для других князей Империи становилась моделью их территориальных княжеств.</w:t>
      </w:r>
    </w:p>
    <w:p w:rsidR="00711EC7" w:rsidRPr="00711EC7" w:rsidRDefault="00711EC7" w:rsidP="00711EC7">
      <w:pPr>
        <w:spacing w:line="360" w:lineRule="auto"/>
        <w:ind w:firstLine="708"/>
        <w:jc w:val="center"/>
        <w:rPr>
          <w:sz w:val="22"/>
          <w:szCs w:val="22"/>
        </w:rPr>
      </w:pPr>
      <w:r w:rsidRPr="00711EC7">
        <w:rPr>
          <w:sz w:val="22"/>
          <w:szCs w:val="22"/>
        </w:rPr>
        <w:t>5</w:t>
      </w:r>
    </w:p>
    <w:p w:rsidR="00BB656E" w:rsidRDefault="00BB656E" w:rsidP="0018391B">
      <w:pPr>
        <w:spacing w:line="360" w:lineRule="auto"/>
        <w:ind w:firstLine="708"/>
        <w:jc w:val="both"/>
        <w:rPr>
          <w:sz w:val="28"/>
          <w:szCs w:val="28"/>
        </w:rPr>
      </w:pPr>
      <w:r>
        <w:rPr>
          <w:sz w:val="28"/>
          <w:szCs w:val="28"/>
        </w:rPr>
        <w:t>Обратим внимание на существование разнообразных оценок Золотой буллы в научных исследованиях, публицистической и художественной литературе. (См. прилагаемый список использованной литературы).</w:t>
      </w:r>
    </w:p>
    <w:p w:rsidR="00BB656E" w:rsidRDefault="00BB656E" w:rsidP="0018391B">
      <w:pPr>
        <w:spacing w:line="360" w:lineRule="auto"/>
        <w:ind w:firstLine="708"/>
        <w:jc w:val="both"/>
        <w:rPr>
          <w:sz w:val="28"/>
          <w:szCs w:val="28"/>
        </w:rPr>
      </w:pPr>
      <w:r>
        <w:rPr>
          <w:sz w:val="28"/>
          <w:szCs w:val="28"/>
        </w:rPr>
        <w:t>Формально «Золотая Булла» имела силу закона до конца существования Священной Римской империи германской нации, то есть до 1806 г.</w:t>
      </w:r>
    </w:p>
    <w:p w:rsidR="00BB656E" w:rsidRDefault="00BB656E" w:rsidP="0018391B">
      <w:pPr>
        <w:spacing w:line="360" w:lineRule="auto"/>
        <w:ind w:firstLine="708"/>
        <w:jc w:val="both"/>
        <w:rPr>
          <w:sz w:val="28"/>
          <w:szCs w:val="28"/>
        </w:rPr>
      </w:pPr>
      <w:r>
        <w:rPr>
          <w:sz w:val="28"/>
          <w:szCs w:val="28"/>
        </w:rPr>
        <w:t>На русском языке публиковалась лишь часть текста (См.: Хрестоматия памятников по истории феодального государства и права стран Европы/ Под ред. В.И.Корецкого. М., 1961. С.413-428).</w:t>
      </w:r>
    </w:p>
    <w:p w:rsidR="0001323F" w:rsidRDefault="0001323F" w:rsidP="0018391B">
      <w:pPr>
        <w:spacing w:line="360" w:lineRule="auto"/>
        <w:ind w:firstLine="708"/>
        <w:jc w:val="both"/>
        <w:rPr>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18391B" w:rsidRDefault="0018391B" w:rsidP="0018391B">
      <w:pPr>
        <w:spacing w:line="360" w:lineRule="auto"/>
        <w:jc w:val="both"/>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Default="00711EC7" w:rsidP="0001323F">
      <w:pPr>
        <w:spacing w:line="360" w:lineRule="auto"/>
        <w:jc w:val="center"/>
        <w:rPr>
          <w:b/>
          <w:sz w:val="28"/>
          <w:szCs w:val="28"/>
        </w:rPr>
      </w:pPr>
    </w:p>
    <w:p w:rsidR="00711EC7" w:rsidRPr="00711EC7" w:rsidRDefault="00711EC7" w:rsidP="0001323F">
      <w:pPr>
        <w:spacing w:line="360" w:lineRule="auto"/>
        <w:jc w:val="center"/>
        <w:rPr>
          <w:sz w:val="22"/>
          <w:szCs w:val="22"/>
        </w:rPr>
      </w:pPr>
      <w:r w:rsidRPr="00711EC7">
        <w:rPr>
          <w:sz w:val="22"/>
          <w:szCs w:val="22"/>
        </w:rPr>
        <w:t>6</w:t>
      </w:r>
    </w:p>
    <w:p w:rsidR="008F0769" w:rsidRDefault="008F0769" w:rsidP="0001323F">
      <w:pPr>
        <w:spacing w:line="360" w:lineRule="auto"/>
        <w:jc w:val="center"/>
        <w:rPr>
          <w:b/>
          <w:sz w:val="28"/>
          <w:szCs w:val="28"/>
        </w:rPr>
      </w:pPr>
      <w:r>
        <w:rPr>
          <w:b/>
          <w:sz w:val="28"/>
          <w:szCs w:val="28"/>
        </w:rPr>
        <w:t>Содержание Золотой Буллы</w:t>
      </w:r>
    </w:p>
    <w:p w:rsidR="008F0769" w:rsidRDefault="008F0769" w:rsidP="0018391B">
      <w:pPr>
        <w:spacing w:line="360" w:lineRule="auto"/>
        <w:ind w:firstLine="708"/>
        <w:jc w:val="both"/>
        <w:rPr>
          <w:sz w:val="28"/>
          <w:szCs w:val="28"/>
        </w:rPr>
      </w:pPr>
      <w:r>
        <w:rPr>
          <w:sz w:val="28"/>
          <w:szCs w:val="28"/>
        </w:rPr>
        <w:t>Золотая Булла начинается словами обращения к Господу – стихотворным прологом , как положено в средние века, затем формулируется цель документа. Он создан для того, чтобы не позволить немецкому народу направить свои стопы, «где правит Эринния, властвует Алекто и судит Мегера».  Все эти ужасные существа, считавшиеся в античной мифологии возбудителями мести, раздора и безумия, в документе поименованные – Античная Римская империя, никогда не уходили из сознания средневековой Западной Европы, продолжая жизнь свою – духовную, политическую, культурную.</w:t>
      </w:r>
    </w:p>
    <w:p w:rsidR="008F0769" w:rsidRDefault="008F0769" w:rsidP="0018391B">
      <w:pPr>
        <w:spacing w:line="360" w:lineRule="auto"/>
        <w:ind w:firstLine="708"/>
        <w:jc w:val="both"/>
        <w:rPr>
          <w:sz w:val="28"/>
          <w:szCs w:val="28"/>
        </w:rPr>
      </w:pPr>
      <w:r>
        <w:rPr>
          <w:sz w:val="28"/>
          <w:szCs w:val="28"/>
        </w:rPr>
        <w:t>Далее следует перечисление глав, относящиеся к той части Буллы, которая была принята в Нюрбенге. Основная часть документа состоит из 31 главы 6 – посвящены вопросам, связанным с избранием римского короля, который должен стать императором, 4 – попыткам установить феодальный порядок, а 21 – князья-избирателям, их привилегиям.</w:t>
      </w:r>
    </w:p>
    <w:p w:rsidR="008F0769" w:rsidRDefault="008F0769" w:rsidP="0018391B">
      <w:pPr>
        <w:spacing w:line="360" w:lineRule="auto"/>
        <w:ind w:firstLine="708"/>
        <w:jc w:val="both"/>
        <w:rPr>
          <w:sz w:val="28"/>
          <w:szCs w:val="28"/>
        </w:rPr>
      </w:pPr>
      <w:r>
        <w:rPr>
          <w:sz w:val="28"/>
          <w:szCs w:val="28"/>
        </w:rPr>
        <w:t xml:space="preserve"> В Золотой Булле юридически закреплялась практика выборности королей в Германии. Впервые в официальном документе был сформулирован состав тех, кто его избирает – семь курфюрстов. Закреплялся состав: архиепископы Майнца, Кельна и Трира, Король Чехии, Рейнский фальцграф, герцог Саксонии и маркграф Брандербурга. «Выборы производились во Франкфурте названной коллегией в лице самих правителей или их послов после принесения присяги. Срок избирательной процедуры был строго ограничен 30 днями. Выборы производились без пауз».</w:t>
      </w:r>
      <w:r>
        <w:rPr>
          <w:rStyle w:val="a4"/>
          <w:sz w:val="28"/>
          <w:szCs w:val="28"/>
        </w:rPr>
        <w:footnoteReference w:id="5"/>
      </w:r>
      <w:r>
        <w:rPr>
          <w:sz w:val="28"/>
          <w:szCs w:val="28"/>
        </w:rPr>
        <w:t xml:space="preserve">  Если через 30 дней курфюрсты не выбрали императора, то «они должны были перейти на питание лишь хлебом и водою и никоим образом не выезжать из города, пока не будет избран новый правитель христианского народа».</w:t>
      </w:r>
      <w:r>
        <w:rPr>
          <w:rStyle w:val="a4"/>
          <w:sz w:val="28"/>
          <w:szCs w:val="28"/>
        </w:rPr>
        <w:footnoteReference w:id="6"/>
      </w:r>
    </w:p>
    <w:p w:rsidR="00711EC7" w:rsidRDefault="008F0769" w:rsidP="0018391B">
      <w:pPr>
        <w:spacing w:line="360" w:lineRule="auto"/>
        <w:ind w:firstLine="708"/>
        <w:jc w:val="both"/>
        <w:rPr>
          <w:sz w:val="28"/>
          <w:szCs w:val="28"/>
        </w:rPr>
      </w:pPr>
      <w:r>
        <w:rPr>
          <w:sz w:val="28"/>
          <w:szCs w:val="28"/>
        </w:rPr>
        <w:t xml:space="preserve">Был закреплен принцип выборности – большинство курфюрстов, т.е. группа из четырех человек. Были отмечены возможные обстоятельства, </w:t>
      </w:r>
    </w:p>
    <w:p w:rsidR="00711EC7" w:rsidRPr="00711EC7" w:rsidRDefault="00711EC7" w:rsidP="00711EC7">
      <w:pPr>
        <w:spacing w:line="360" w:lineRule="auto"/>
        <w:ind w:firstLine="708"/>
        <w:jc w:val="center"/>
        <w:rPr>
          <w:sz w:val="22"/>
          <w:szCs w:val="22"/>
        </w:rPr>
      </w:pPr>
      <w:r w:rsidRPr="00711EC7">
        <w:rPr>
          <w:sz w:val="22"/>
          <w:szCs w:val="22"/>
        </w:rPr>
        <w:t>7</w:t>
      </w:r>
    </w:p>
    <w:p w:rsidR="008F0769" w:rsidRDefault="008F0769" w:rsidP="00711EC7">
      <w:pPr>
        <w:spacing w:line="360" w:lineRule="auto"/>
        <w:jc w:val="both"/>
        <w:rPr>
          <w:sz w:val="28"/>
          <w:szCs w:val="28"/>
        </w:rPr>
      </w:pPr>
      <w:r>
        <w:rPr>
          <w:sz w:val="28"/>
          <w:szCs w:val="28"/>
        </w:rPr>
        <w:t>которые могут помешать, и предусмотрено, чтобы выборам ничего не помешало.  Карл стремился, очевидно, предусмотреть любые мелочи, которые могли бы затруднить процедуру избрания. Например, голос неявившегося или опоздавшего не учитывался. Были даны обязательства всем князьям поддерживать курфюрстов, направляющихся на выборы. Даже если это был их личный враг, они были обязаны дать курфюрстам сопровождение и охрану для участия в выборах. Четко устанавливается, кто из князей является курфюрстами.</w:t>
      </w:r>
    </w:p>
    <w:p w:rsidR="008F0769" w:rsidRDefault="008F0769" w:rsidP="0018391B">
      <w:pPr>
        <w:spacing w:line="360" w:lineRule="auto"/>
        <w:ind w:firstLine="708"/>
        <w:jc w:val="both"/>
        <w:rPr>
          <w:sz w:val="28"/>
          <w:szCs w:val="28"/>
        </w:rPr>
      </w:pPr>
      <w:r>
        <w:rPr>
          <w:sz w:val="28"/>
          <w:szCs w:val="28"/>
        </w:rPr>
        <w:t xml:space="preserve">Карл </w:t>
      </w:r>
      <w:r>
        <w:rPr>
          <w:sz w:val="28"/>
          <w:szCs w:val="28"/>
          <w:lang w:val="en-US"/>
        </w:rPr>
        <w:t>IV</w:t>
      </w:r>
      <w:r>
        <w:rPr>
          <w:sz w:val="28"/>
          <w:szCs w:val="28"/>
        </w:rPr>
        <w:t xml:space="preserve"> смог не только добиться недопущения своих сильнейших врагов в состав коллегии, он и обеспечил привилегированное место для чешского короля.</w:t>
      </w:r>
    </w:p>
    <w:p w:rsidR="008F0769" w:rsidRPr="0083693F" w:rsidRDefault="008F0769" w:rsidP="0018391B">
      <w:pPr>
        <w:spacing w:line="360" w:lineRule="auto"/>
        <w:ind w:firstLine="708"/>
        <w:jc w:val="both"/>
        <w:rPr>
          <w:sz w:val="28"/>
          <w:szCs w:val="28"/>
        </w:rPr>
      </w:pPr>
      <w:r>
        <w:rPr>
          <w:sz w:val="28"/>
          <w:szCs w:val="28"/>
        </w:rPr>
        <w:t>В Золотой Булле сказано со всей определенностью, что после голосов трех архиепископов следует очередь чешского короля, «который среди светских курфюрстов обладает первенством благодаря величию королевского сана, праву и заслугам».</w:t>
      </w:r>
      <w:r>
        <w:rPr>
          <w:rStyle w:val="a4"/>
          <w:sz w:val="28"/>
          <w:szCs w:val="28"/>
        </w:rPr>
        <w:footnoteReference w:id="7"/>
      </w:r>
      <w:r>
        <w:rPr>
          <w:sz w:val="28"/>
          <w:szCs w:val="28"/>
        </w:rPr>
        <w:t xml:space="preserve"> Благодаря усилиям Карла коллегия курфюрстов оформилась в составе, который не менялся в течение ряда столетий.</w:t>
      </w:r>
    </w:p>
    <w:p w:rsidR="008F0769" w:rsidRPr="00A010EA" w:rsidRDefault="008F0769" w:rsidP="0018391B">
      <w:pPr>
        <w:spacing w:line="360" w:lineRule="auto"/>
        <w:ind w:firstLine="708"/>
        <w:jc w:val="both"/>
        <w:rPr>
          <w:sz w:val="28"/>
          <w:szCs w:val="28"/>
        </w:rPr>
      </w:pPr>
      <w:r>
        <w:rPr>
          <w:sz w:val="28"/>
          <w:szCs w:val="28"/>
        </w:rPr>
        <w:t>Только что избранный император должен был подтвердить всем князьям – избирателям «всех их прав, привилегий и грамот, вольностей, пожалований, старинных обычаев, а также почетных санов и всего, что они от империи получили и чем обладали вплоть до дня выборов».</w:t>
      </w:r>
      <w:r>
        <w:rPr>
          <w:rStyle w:val="a4"/>
          <w:sz w:val="28"/>
          <w:szCs w:val="28"/>
        </w:rPr>
        <w:footnoteReference w:id="8"/>
      </w:r>
    </w:p>
    <w:p w:rsidR="008F0769" w:rsidRDefault="00B70F04" w:rsidP="0018391B">
      <w:pPr>
        <w:spacing w:line="360" w:lineRule="auto"/>
        <w:ind w:firstLine="708"/>
        <w:jc w:val="both"/>
        <w:rPr>
          <w:sz w:val="28"/>
          <w:szCs w:val="28"/>
        </w:rPr>
      </w:pPr>
      <w:r>
        <w:rPr>
          <w:sz w:val="28"/>
          <w:szCs w:val="28"/>
        </w:rPr>
        <w:t xml:space="preserve"> Более того, «Золотая Булла» предполагала превращение коллегии курфюрстов в постоянно действующий орган государстенного управления и намечала ежегодный съезд князей-избирателей</w:t>
      </w:r>
      <w:r w:rsidR="008F0769">
        <w:rPr>
          <w:sz w:val="28"/>
          <w:szCs w:val="28"/>
        </w:rPr>
        <w:t xml:space="preserve"> (гл.12). Это плохо соблюдалось. Но ведь нам важна история юридической мысли, история политических идей, потому что она влияет на сознание и на реальную политическую мысль. </w:t>
      </w:r>
    </w:p>
    <w:p w:rsidR="00711EC7" w:rsidRDefault="008F0769" w:rsidP="0018391B">
      <w:pPr>
        <w:spacing w:line="360" w:lineRule="auto"/>
        <w:ind w:firstLine="708"/>
        <w:jc w:val="both"/>
        <w:rPr>
          <w:sz w:val="28"/>
          <w:szCs w:val="28"/>
        </w:rPr>
      </w:pPr>
      <w:r>
        <w:rPr>
          <w:sz w:val="28"/>
          <w:szCs w:val="28"/>
        </w:rPr>
        <w:t xml:space="preserve">Таким образом, Золотая Булла императора Карла </w:t>
      </w:r>
      <w:r>
        <w:rPr>
          <w:sz w:val="28"/>
          <w:szCs w:val="28"/>
          <w:lang w:val="en-US"/>
        </w:rPr>
        <w:t>IV</w:t>
      </w:r>
      <w:r>
        <w:rPr>
          <w:sz w:val="28"/>
          <w:szCs w:val="28"/>
        </w:rPr>
        <w:t xml:space="preserve"> отразила в себе противоположные тенденции одновременно. Императора избирали всего семь </w:t>
      </w:r>
    </w:p>
    <w:p w:rsidR="00711EC7" w:rsidRPr="00711EC7" w:rsidRDefault="00711EC7" w:rsidP="00711EC7">
      <w:pPr>
        <w:spacing w:line="360" w:lineRule="auto"/>
        <w:ind w:firstLine="708"/>
        <w:jc w:val="center"/>
        <w:rPr>
          <w:sz w:val="22"/>
          <w:szCs w:val="22"/>
        </w:rPr>
      </w:pPr>
      <w:r w:rsidRPr="00711EC7">
        <w:rPr>
          <w:sz w:val="22"/>
          <w:szCs w:val="22"/>
        </w:rPr>
        <w:t>8</w:t>
      </w:r>
    </w:p>
    <w:p w:rsidR="008F0769" w:rsidRDefault="008F0769" w:rsidP="00711EC7">
      <w:pPr>
        <w:spacing w:line="360" w:lineRule="auto"/>
        <w:jc w:val="both"/>
        <w:rPr>
          <w:sz w:val="28"/>
          <w:szCs w:val="28"/>
        </w:rPr>
      </w:pPr>
      <w:r>
        <w:rPr>
          <w:sz w:val="28"/>
          <w:szCs w:val="28"/>
        </w:rPr>
        <w:t>человек в государстве. Но – его избирали, власть не передавалась династическим путем, как это было в Англии и Франции. Закреплялся сам принцип выборности. Факт, который трудно переоценить.</w:t>
      </w:r>
    </w:p>
    <w:p w:rsidR="008F0769" w:rsidRPr="00AA0817" w:rsidRDefault="008F0769" w:rsidP="0018391B">
      <w:pPr>
        <w:spacing w:line="360" w:lineRule="auto"/>
        <w:ind w:firstLine="708"/>
        <w:jc w:val="both"/>
        <w:rPr>
          <w:sz w:val="28"/>
          <w:szCs w:val="28"/>
        </w:rPr>
      </w:pPr>
    </w:p>
    <w:p w:rsidR="00F2192C" w:rsidRPr="00F86ADD" w:rsidRDefault="00F2192C" w:rsidP="0018391B">
      <w:pPr>
        <w:spacing w:line="360" w:lineRule="auto"/>
        <w:ind w:firstLine="708"/>
        <w:jc w:val="both"/>
        <w:rPr>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18391B" w:rsidRDefault="0018391B" w:rsidP="0018391B">
      <w:pPr>
        <w:spacing w:line="360" w:lineRule="auto"/>
        <w:ind w:firstLine="708"/>
        <w:jc w:val="both"/>
        <w:rPr>
          <w:rFonts w:ascii="Lucida Console" w:hAnsi="Lucida Console"/>
          <w:b/>
          <w:sz w:val="28"/>
          <w:szCs w:val="28"/>
        </w:rPr>
      </w:pPr>
    </w:p>
    <w:p w:rsidR="00711EC7" w:rsidRDefault="00711EC7" w:rsidP="0018391B">
      <w:pPr>
        <w:spacing w:line="360" w:lineRule="auto"/>
        <w:ind w:firstLine="708"/>
        <w:jc w:val="center"/>
        <w:rPr>
          <w:rFonts w:ascii="Lucida Console" w:hAnsi="Lucida Console"/>
          <w:b/>
          <w:sz w:val="28"/>
          <w:szCs w:val="28"/>
        </w:rPr>
      </w:pPr>
    </w:p>
    <w:p w:rsidR="00711EC7" w:rsidRPr="00711EC7" w:rsidRDefault="00711EC7" w:rsidP="0018391B">
      <w:pPr>
        <w:spacing w:line="360" w:lineRule="auto"/>
        <w:ind w:firstLine="708"/>
        <w:jc w:val="center"/>
        <w:rPr>
          <w:sz w:val="22"/>
          <w:szCs w:val="22"/>
        </w:rPr>
      </w:pPr>
      <w:r w:rsidRPr="00711EC7">
        <w:rPr>
          <w:sz w:val="22"/>
          <w:szCs w:val="22"/>
        </w:rPr>
        <w:t>9</w:t>
      </w:r>
    </w:p>
    <w:p w:rsidR="00A010EA" w:rsidRPr="00A87FAD" w:rsidRDefault="00A010EA" w:rsidP="0018391B">
      <w:pPr>
        <w:spacing w:line="360" w:lineRule="auto"/>
        <w:ind w:firstLine="708"/>
        <w:jc w:val="center"/>
        <w:rPr>
          <w:rFonts w:ascii="Lucida Console" w:hAnsi="Lucida Console"/>
          <w:b/>
          <w:sz w:val="28"/>
          <w:szCs w:val="28"/>
        </w:rPr>
      </w:pPr>
      <w:r w:rsidRPr="00A87FAD">
        <w:rPr>
          <w:rFonts w:ascii="Lucida Console" w:hAnsi="Lucida Console"/>
          <w:b/>
          <w:sz w:val="28"/>
          <w:szCs w:val="28"/>
        </w:rPr>
        <w:t>Ис</w:t>
      </w:r>
      <w:r w:rsidR="00841103" w:rsidRPr="00A87FAD">
        <w:rPr>
          <w:rFonts w:ascii="Lucida Console" w:hAnsi="Lucida Console"/>
          <w:b/>
          <w:sz w:val="28"/>
          <w:szCs w:val="28"/>
        </w:rPr>
        <w:t>торическая оценка Золотой Буллы</w:t>
      </w:r>
    </w:p>
    <w:p w:rsidR="00133636" w:rsidRDefault="009F6258" w:rsidP="0018391B">
      <w:pPr>
        <w:spacing w:line="360" w:lineRule="auto"/>
        <w:ind w:firstLine="708"/>
        <w:jc w:val="both"/>
        <w:rPr>
          <w:sz w:val="28"/>
          <w:szCs w:val="28"/>
        </w:rPr>
      </w:pPr>
      <w:r>
        <w:rPr>
          <w:sz w:val="28"/>
          <w:szCs w:val="28"/>
        </w:rPr>
        <w:t xml:space="preserve">В священной римской империи германской нации император избирался феодалами. Сначала не существовало определенного порядка его избрания. В выборах принимали участие все знатные князья. К концу </w:t>
      </w:r>
      <w:r>
        <w:rPr>
          <w:sz w:val="28"/>
          <w:szCs w:val="28"/>
          <w:lang w:val="en-US"/>
        </w:rPr>
        <w:t>XII</w:t>
      </w:r>
      <w:r>
        <w:rPr>
          <w:sz w:val="28"/>
          <w:szCs w:val="28"/>
        </w:rPr>
        <w:t xml:space="preserve"> века выделились курфюрсты (князья – избиратели). Императора выбирали обычно три архиепископа – Майнцский, Кельнский, Трирский и 3-4 светских князя. Острая борьба шла вокруг права голоса чешского короля,  ему отказывали избирать, потому что он не немец («Саксонское зерцало»). Борьба между князьями за влияние на выборах осложнялась борьбой папской курии за господство в Германии</w:t>
      </w:r>
      <w:r w:rsidR="00B557A8">
        <w:rPr>
          <w:sz w:val="28"/>
          <w:szCs w:val="28"/>
        </w:rPr>
        <w:t xml:space="preserve">. Папы стали присваивать себе право выражать одобрение или неодобрение избранному императору. Они также притязали на право смещать императоров путем отлучения от церкви. </w:t>
      </w:r>
    </w:p>
    <w:p w:rsidR="00EE010E" w:rsidRDefault="00B557A8" w:rsidP="0018391B">
      <w:pPr>
        <w:spacing w:line="360" w:lineRule="auto"/>
        <w:ind w:firstLine="708"/>
        <w:jc w:val="both"/>
        <w:rPr>
          <w:sz w:val="28"/>
          <w:szCs w:val="28"/>
        </w:rPr>
      </w:pPr>
      <w:r>
        <w:rPr>
          <w:sz w:val="28"/>
          <w:szCs w:val="28"/>
        </w:rPr>
        <w:t xml:space="preserve">В результате интриг папства, враждовавшего с германским императором Людвигом </w:t>
      </w:r>
      <w:r>
        <w:rPr>
          <w:sz w:val="28"/>
          <w:szCs w:val="28"/>
          <w:lang w:val="en-US"/>
        </w:rPr>
        <w:t>IV</w:t>
      </w:r>
      <w:r>
        <w:rPr>
          <w:sz w:val="28"/>
          <w:szCs w:val="28"/>
        </w:rPr>
        <w:t>, часть курфюрстов избрала 11 июля 1346 г. императором</w:t>
      </w:r>
      <w:r w:rsidR="008B0110">
        <w:rPr>
          <w:sz w:val="28"/>
          <w:szCs w:val="28"/>
        </w:rPr>
        <w:t xml:space="preserve"> Германии </w:t>
      </w:r>
      <w:r>
        <w:rPr>
          <w:sz w:val="28"/>
          <w:szCs w:val="28"/>
        </w:rPr>
        <w:t xml:space="preserve"> Карла </w:t>
      </w:r>
      <w:r>
        <w:rPr>
          <w:sz w:val="28"/>
          <w:szCs w:val="28"/>
          <w:lang w:val="en-US"/>
        </w:rPr>
        <w:t>IV</w:t>
      </w:r>
      <w:r w:rsidR="00E8034B">
        <w:rPr>
          <w:sz w:val="28"/>
          <w:szCs w:val="28"/>
        </w:rPr>
        <w:t xml:space="preserve"> , </w:t>
      </w:r>
      <w:r w:rsidR="00EE010E">
        <w:rPr>
          <w:sz w:val="28"/>
          <w:szCs w:val="28"/>
        </w:rPr>
        <w:t xml:space="preserve"> также</w:t>
      </w:r>
      <w:r w:rsidR="00E8034B">
        <w:rPr>
          <w:sz w:val="28"/>
          <w:szCs w:val="28"/>
        </w:rPr>
        <w:t xml:space="preserve"> он</w:t>
      </w:r>
      <w:r w:rsidR="00EE010E">
        <w:rPr>
          <w:sz w:val="28"/>
          <w:szCs w:val="28"/>
        </w:rPr>
        <w:t xml:space="preserve"> был полновластным королем Чехии.</w:t>
      </w:r>
    </w:p>
    <w:p w:rsidR="006A1CA1" w:rsidRDefault="006A1CA1" w:rsidP="0018391B">
      <w:pPr>
        <w:spacing w:line="360" w:lineRule="auto"/>
        <w:ind w:firstLine="708"/>
        <w:jc w:val="both"/>
        <w:rPr>
          <w:sz w:val="28"/>
          <w:szCs w:val="28"/>
        </w:rPr>
      </w:pPr>
      <w:r>
        <w:rPr>
          <w:sz w:val="28"/>
          <w:szCs w:val="28"/>
        </w:rPr>
        <w:t>В 1355 году Карл созывает Нюрнбергский сейм, «чтобы посоветоваться для обще</w:t>
      </w:r>
      <w:r w:rsidR="008F0769">
        <w:rPr>
          <w:sz w:val="28"/>
          <w:szCs w:val="28"/>
        </w:rPr>
        <w:t>й</w:t>
      </w:r>
      <w:r>
        <w:rPr>
          <w:sz w:val="28"/>
          <w:szCs w:val="28"/>
        </w:rPr>
        <w:t xml:space="preserve"> пользы о мире и походе в стране. На основании постановления этого сейма Карл </w:t>
      </w:r>
      <w:r>
        <w:rPr>
          <w:sz w:val="28"/>
          <w:szCs w:val="28"/>
          <w:lang w:val="en-US"/>
        </w:rPr>
        <w:t>IV</w:t>
      </w:r>
      <w:r>
        <w:rPr>
          <w:sz w:val="28"/>
          <w:szCs w:val="28"/>
        </w:rPr>
        <w:t xml:space="preserve"> издал «Золотую Буллу» для того, чтобы не было раздора между семью князьями – избирателями Священной империи, которыми она должна освящаться, как семью сияющими светильниками, чтобы противодействовать будущим опасностям раздоров и разногласий между кн</w:t>
      </w:r>
      <w:r w:rsidR="007A1F09">
        <w:rPr>
          <w:sz w:val="28"/>
          <w:szCs w:val="28"/>
        </w:rPr>
        <w:t>язья</w:t>
      </w:r>
      <w:r>
        <w:rPr>
          <w:sz w:val="28"/>
          <w:szCs w:val="28"/>
        </w:rPr>
        <w:t>ми-избирателями».</w:t>
      </w:r>
      <w:r>
        <w:rPr>
          <w:rStyle w:val="a4"/>
          <w:sz w:val="28"/>
          <w:szCs w:val="28"/>
        </w:rPr>
        <w:footnoteReference w:id="9"/>
      </w:r>
    </w:p>
    <w:p w:rsidR="00B46E4E" w:rsidRDefault="007A1F09" w:rsidP="0018391B">
      <w:pPr>
        <w:spacing w:line="360" w:lineRule="auto"/>
        <w:jc w:val="both"/>
        <w:rPr>
          <w:sz w:val="28"/>
          <w:szCs w:val="28"/>
        </w:rPr>
      </w:pPr>
      <w:r>
        <w:rPr>
          <w:sz w:val="28"/>
          <w:szCs w:val="28"/>
        </w:rPr>
        <w:t xml:space="preserve">Но среди историков оценки Буллы существенно различны. </w:t>
      </w:r>
    </w:p>
    <w:p w:rsidR="007A1F09" w:rsidRDefault="007A1F09" w:rsidP="0018391B">
      <w:pPr>
        <w:spacing w:line="360" w:lineRule="auto"/>
        <w:ind w:firstLine="708"/>
        <w:jc w:val="both"/>
        <w:rPr>
          <w:sz w:val="28"/>
          <w:szCs w:val="28"/>
        </w:rPr>
      </w:pPr>
      <w:r>
        <w:rPr>
          <w:sz w:val="28"/>
          <w:szCs w:val="28"/>
        </w:rPr>
        <w:t>Традиционно считалось, что Карл хотел укрепить власть чешского монарха в собственном королевстве. Некоторые даже утверждают, что император с помощью</w:t>
      </w:r>
      <w:r w:rsidR="00B46E4E">
        <w:rPr>
          <w:sz w:val="28"/>
          <w:szCs w:val="28"/>
        </w:rPr>
        <w:t xml:space="preserve"> этого документа предполагал «сломить силу чешского дворянства и превратить Чехию в государство современного типа…»</w:t>
      </w:r>
      <w:r w:rsidR="00B46E4E">
        <w:rPr>
          <w:rStyle w:val="a4"/>
          <w:sz w:val="28"/>
          <w:szCs w:val="28"/>
        </w:rPr>
        <w:footnoteReference w:id="10"/>
      </w:r>
      <w:r w:rsidR="00B46E4E">
        <w:rPr>
          <w:sz w:val="28"/>
          <w:szCs w:val="28"/>
        </w:rPr>
        <w:t>.</w:t>
      </w:r>
    </w:p>
    <w:p w:rsidR="00711EC7" w:rsidRDefault="00711EC7" w:rsidP="0018391B">
      <w:pPr>
        <w:spacing w:line="360" w:lineRule="auto"/>
        <w:ind w:firstLine="708"/>
        <w:jc w:val="both"/>
        <w:rPr>
          <w:sz w:val="28"/>
          <w:szCs w:val="28"/>
        </w:rPr>
      </w:pPr>
    </w:p>
    <w:p w:rsidR="00711EC7" w:rsidRPr="00711EC7" w:rsidRDefault="00711EC7" w:rsidP="00711EC7">
      <w:pPr>
        <w:spacing w:line="360" w:lineRule="auto"/>
        <w:ind w:firstLine="708"/>
        <w:jc w:val="center"/>
        <w:rPr>
          <w:sz w:val="22"/>
          <w:szCs w:val="22"/>
        </w:rPr>
      </w:pPr>
      <w:r w:rsidRPr="00711EC7">
        <w:rPr>
          <w:sz w:val="22"/>
          <w:szCs w:val="22"/>
        </w:rPr>
        <w:t>10</w:t>
      </w:r>
    </w:p>
    <w:p w:rsidR="00B46E4E" w:rsidRDefault="00B46E4E" w:rsidP="0018391B">
      <w:pPr>
        <w:spacing w:line="360" w:lineRule="auto"/>
        <w:ind w:firstLine="708"/>
        <w:jc w:val="both"/>
        <w:rPr>
          <w:sz w:val="28"/>
          <w:szCs w:val="28"/>
        </w:rPr>
      </w:pPr>
      <w:r>
        <w:rPr>
          <w:sz w:val="28"/>
          <w:szCs w:val="28"/>
        </w:rPr>
        <w:t>С другой стороны, Золотую Буллу рассматривают как уступку, сделанную императором князьям – избирателям.</w:t>
      </w:r>
    </w:p>
    <w:p w:rsidR="00B72CB7" w:rsidRDefault="00ED1261" w:rsidP="0018391B">
      <w:pPr>
        <w:spacing w:line="360" w:lineRule="auto"/>
        <w:ind w:firstLine="708"/>
        <w:jc w:val="both"/>
        <w:rPr>
          <w:sz w:val="28"/>
          <w:szCs w:val="28"/>
        </w:rPr>
      </w:pPr>
      <w:r>
        <w:rPr>
          <w:sz w:val="28"/>
          <w:szCs w:val="28"/>
        </w:rPr>
        <w:t>Согласно другому мнению, «Карл ехал на имперские собрания в Нюрнберг вовсе не для того, чтобы осыпать там курфюрстов милостями и привилегиями, но нажим князей был так силен, что компромисс, достигнутый наконец в результате трудных переговоров, был заведомо выгоднее князьям,  чем императору».</w:t>
      </w:r>
      <w:r>
        <w:rPr>
          <w:rStyle w:val="a4"/>
          <w:sz w:val="28"/>
          <w:szCs w:val="28"/>
        </w:rPr>
        <w:footnoteReference w:id="11"/>
      </w:r>
      <w:r w:rsidR="00B72CB7">
        <w:rPr>
          <w:sz w:val="28"/>
          <w:szCs w:val="28"/>
        </w:rPr>
        <w:t xml:space="preserve"> </w:t>
      </w:r>
    </w:p>
    <w:p w:rsidR="00ED1261" w:rsidRDefault="00B72CB7" w:rsidP="0018391B">
      <w:pPr>
        <w:spacing w:line="360" w:lineRule="auto"/>
        <w:ind w:firstLine="708"/>
        <w:jc w:val="both"/>
        <w:rPr>
          <w:sz w:val="28"/>
          <w:szCs w:val="28"/>
          <w:lang w:val="en-US"/>
        </w:rPr>
      </w:pPr>
      <w:r>
        <w:rPr>
          <w:sz w:val="28"/>
          <w:szCs w:val="28"/>
        </w:rPr>
        <w:t>Главный вопрос, вокруг которого ведутся дискуссии, - кто именно, император или же князья, сыграли главную  роль в создании окончательного варианта Буллы? – требует выяснения. Источники не позволяют утверждать что-то определенное. В послании Карла в Мец от 26 ноября говорится, «что император прибыл в Нюрнберг для проведения торжественной курии, созванной ради блага государства и благоденствия подданных, чтобы обсудить с другими участниками собрания все, что касается общего спокойствия, и объединенными усилиями заложить основы будущего мира».</w:t>
      </w:r>
      <w:r>
        <w:rPr>
          <w:rStyle w:val="a4"/>
          <w:sz w:val="28"/>
          <w:szCs w:val="28"/>
        </w:rPr>
        <w:footnoteReference w:id="12"/>
      </w:r>
    </w:p>
    <w:p w:rsidR="00B72CB7" w:rsidRDefault="00B72CB7" w:rsidP="0018391B">
      <w:pPr>
        <w:spacing w:line="360" w:lineRule="auto"/>
        <w:ind w:firstLine="708"/>
        <w:jc w:val="both"/>
        <w:rPr>
          <w:sz w:val="28"/>
          <w:szCs w:val="28"/>
        </w:rPr>
      </w:pPr>
      <w:r>
        <w:rPr>
          <w:sz w:val="28"/>
          <w:szCs w:val="28"/>
        </w:rPr>
        <w:t>Некоторые историки увидели здесь изложение программы императора, т.е. главные пункты текста Буллы. А так как текст, который известен нам сильно отличается, то налицо нажим курфюрстов, который заставил Карла внести изменения. Но  нет никакой уверенности в том, что здесь</w:t>
      </w:r>
      <w:r w:rsidR="0083693F">
        <w:rPr>
          <w:sz w:val="28"/>
          <w:szCs w:val="28"/>
        </w:rPr>
        <w:t xml:space="preserve"> указаны </w:t>
      </w:r>
      <w:r w:rsidR="0083693F" w:rsidRPr="0083693F">
        <w:rPr>
          <w:i/>
          <w:sz w:val="28"/>
          <w:szCs w:val="28"/>
        </w:rPr>
        <w:t>все</w:t>
      </w:r>
      <w:r w:rsidR="0083693F">
        <w:rPr>
          <w:sz w:val="28"/>
          <w:szCs w:val="28"/>
        </w:rPr>
        <w:t xml:space="preserve"> задачи, которые ставил перед собой Карл, а ведь только при этом условии можно судить в чью пользу сложились переговоры.</w:t>
      </w: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711EC7" w:rsidRPr="00711EC7" w:rsidRDefault="00711EC7" w:rsidP="0018391B">
      <w:pPr>
        <w:spacing w:line="360" w:lineRule="auto"/>
        <w:ind w:firstLine="708"/>
        <w:jc w:val="center"/>
        <w:rPr>
          <w:sz w:val="22"/>
          <w:szCs w:val="22"/>
        </w:rPr>
      </w:pPr>
      <w:r w:rsidRPr="00711EC7">
        <w:rPr>
          <w:sz w:val="22"/>
          <w:szCs w:val="22"/>
        </w:rPr>
        <w:t>11</w:t>
      </w:r>
    </w:p>
    <w:p w:rsidR="008F0769" w:rsidRDefault="008F0769" w:rsidP="0018391B">
      <w:pPr>
        <w:spacing w:line="360" w:lineRule="auto"/>
        <w:ind w:firstLine="708"/>
        <w:jc w:val="center"/>
        <w:rPr>
          <w:b/>
          <w:sz w:val="28"/>
          <w:szCs w:val="28"/>
        </w:rPr>
      </w:pPr>
      <w:r>
        <w:rPr>
          <w:b/>
          <w:sz w:val="28"/>
          <w:szCs w:val="28"/>
        </w:rPr>
        <w:t>Значение Золотой Буллы</w:t>
      </w:r>
    </w:p>
    <w:p w:rsidR="008F0769" w:rsidRDefault="00386E32" w:rsidP="0018391B">
      <w:pPr>
        <w:spacing w:line="360" w:lineRule="auto"/>
        <w:ind w:firstLine="708"/>
        <w:jc w:val="both"/>
        <w:rPr>
          <w:sz w:val="28"/>
          <w:szCs w:val="28"/>
        </w:rPr>
      </w:pPr>
      <w:r>
        <w:rPr>
          <w:sz w:val="28"/>
          <w:szCs w:val="28"/>
        </w:rPr>
        <w:t xml:space="preserve">Известно, что в средние века не знали писаного всеобщего законодательства. Юридическое положение институтов и персон определялось правом на индивидуальные привилегии. В целом до </w:t>
      </w:r>
      <w:r>
        <w:rPr>
          <w:sz w:val="28"/>
          <w:szCs w:val="28"/>
          <w:lang w:val="en-US"/>
        </w:rPr>
        <w:t>XII</w:t>
      </w:r>
      <w:r>
        <w:rPr>
          <w:sz w:val="28"/>
          <w:szCs w:val="28"/>
        </w:rPr>
        <w:t xml:space="preserve"> века отсутствовали законы по устройству Империи. К тому же, если и предпринимались попытки их создания, то эпизодически. Так, можно назвать «Союз с духовными князьями»(1220 г.), или же «</w:t>
      </w:r>
      <w:r>
        <w:rPr>
          <w:sz w:val="28"/>
          <w:szCs w:val="28"/>
          <w:lang w:val="en-US"/>
        </w:rPr>
        <w:t>Licet</w:t>
      </w:r>
      <w:r w:rsidRPr="00386E32">
        <w:rPr>
          <w:sz w:val="28"/>
          <w:szCs w:val="28"/>
        </w:rPr>
        <w:t xml:space="preserve"> </w:t>
      </w:r>
      <w:r>
        <w:rPr>
          <w:sz w:val="28"/>
          <w:szCs w:val="28"/>
          <w:lang w:val="en-US"/>
        </w:rPr>
        <w:t>juris</w:t>
      </w:r>
      <w:r>
        <w:rPr>
          <w:sz w:val="28"/>
          <w:szCs w:val="28"/>
        </w:rPr>
        <w:t>»(1338 г.).</w:t>
      </w:r>
    </w:p>
    <w:p w:rsidR="00386E32" w:rsidRDefault="00386E32" w:rsidP="0018391B">
      <w:pPr>
        <w:spacing w:line="360" w:lineRule="auto"/>
        <w:ind w:firstLine="708"/>
        <w:jc w:val="both"/>
        <w:rPr>
          <w:sz w:val="28"/>
          <w:szCs w:val="28"/>
        </w:rPr>
      </w:pPr>
      <w:r>
        <w:rPr>
          <w:sz w:val="28"/>
          <w:szCs w:val="28"/>
        </w:rPr>
        <w:t>16 июля 1338 г. В Рензе были приняты постановления, утвержденные затем 8 августа во Франкфурте: «Императорское достоинство и власть признавались законными с того самого дня…, как кто-либо избирался по старинному обычаю императором или королем имперскими избирателями единогласно или большей их частью,</w:t>
      </w:r>
      <w:r w:rsidR="004C4161">
        <w:rPr>
          <w:sz w:val="28"/>
          <w:szCs w:val="28"/>
        </w:rPr>
        <w:t xml:space="preserve"> он тотчас же на основании одного только этого избрания должен считаться и называться королем или римским императором, и ему должны оказывать повиновение все подданные империи…, и он не нуждается в одобрении, утверждении, поддержке или соизволении папы, либо апостольского престола, или кого-либо другого… Каждый, кто воспротивится принятому постановлению, должен будет преследоваться и наказываться как оскорбивший «величество».</w:t>
      </w:r>
      <w:r w:rsidR="004C4161">
        <w:rPr>
          <w:rStyle w:val="a4"/>
          <w:sz w:val="28"/>
          <w:szCs w:val="28"/>
        </w:rPr>
        <w:footnoteReference w:id="13"/>
      </w:r>
      <w:r w:rsidR="004C4161">
        <w:rPr>
          <w:sz w:val="28"/>
          <w:szCs w:val="28"/>
        </w:rPr>
        <w:t xml:space="preserve"> </w:t>
      </w:r>
    </w:p>
    <w:p w:rsidR="007E72F8" w:rsidRPr="007E72F8" w:rsidRDefault="007E72F8" w:rsidP="007E72F8">
      <w:pPr>
        <w:spacing w:line="360" w:lineRule="auto"/>
        <w:ind w:firstLine="708"/>
        <w:jc w:val="both"/>
        <w:rPr>
          <w:sz w:val="28"/>
          <w:szCs w:val="28"/>
        </w:rPr>
      </w:pPr>
      <w:r>
        <w:rPr>
          <w:sz w:val="28"/>
          <w:szCs w:val="28"/>
        </w:rPr>
        <w:t xml:space="preserve">Карл </w:t>
      </w:r>
      <w:r>
        <w:rPr>
          <w:sz w:val="28"/>
          <w:szCs w:val="28"/>
          <w:lang w:val="en-US"/>
        </w:rPr>
        <w:t>IV</w:t>
      </w:r>
      <w:r>
        <w:rPr>
          <w:sz w:val="28"/>
          <w:szCs w:val="28"/>
        </w:rPr>
        <w:t xml:space="preserve"> получив императорскую корону, делает шаг к систематизации законов государства, с пересмотром уже имеющегося. Упрочив свое положение, он стремился учитывать реальное соотношение сил в Империи. Кодификация подобного рола, будь она проведена в жизнь, неминуемо упрочила бы управление государством изнутри. Если анализировать буллу с этой точки зрения, то можно увидеть в ней конституционное содержание. Она по-новому пыталась связать принцип «домашнего господства» правящей династии с полномочиями курфюрстов. Новизна заключалась и в том, что и королевская власть, и князья-избиратели призваны выступить в качестве партнеров.</w:t>
      </w:r>
    </w:p>
    <w:p w:rsidR="007E72F8" w:rsidRDefault="007E72F8" w:rsidP="0018391B">
      <w:pPr>
        <w:spacing w:line="360" w:lineRule="auto"/>
        <w:ind w:firstLine="708"/>
        <w:jc w:val="both"/>
        <w:rPr>
          <w:sz w:val="28"/>
          <w:szCs w:val="28"/>
        </w:rPr>
      </w:pPr>
    </w:p>
    <w:p w:rsidR="00711EC7" w:rsidRPr="00711EC7" w:rsidRDefault="00711EC7" w:rsidP="00711EC7">
      <w:pPr>
        <w:spacing w:line="360" w:lineRule="auto"/>
        <w:ind w:firstLine="708"/>
        <w:jc w:val="center"/>
        <w:rPr>
          <w:sz w:val="22"/>
          <w:szCs w:val="22"/>
        </w:rPr>
      </w:pPr>
      <w:r w:rsidRPr="00711EC7">
        <w:rPr>
          <w:sz w:val="22"/>
          <w:szCs w:val="22"/>
        </w:rPr>
        <w:t>12</w:t>
      </w:r>
    </w:p>
    <w:p w:rsidR="004C4161" w:rsidRDefault="004C4161" w:rsidP="0018391B">
      <w:pPr>
        <w:spacing w:line="360" w:lineRule="auto"/>
        <w:ind w:firstLine="708"/>
        <w:jc w:val="both"/>
        <w:rPr>
          <w:sz w:val="28"/>
          <w:szCs w:val="28"/>
        </w:rPr>
      </w:pPr>
      <w:r>
        <w:rPr>
          <w:sz w:val="28"/>
          <w:szCs w:val="28"/>
        </w:rPr>
        <w:t>Историческое значение «Золотой буллы» заключается не в том, что она стала новым конституционным правом. Булла классифицировала уже действовавшее право, прежде всего обычное, сформировавшееся на основе традиции избрания королей, различных правовых случаев и пожалований. Создается впечатление, что большинство глав документа не было предназначено для классификации. Отсутствует окончательная редакция, связь между отдельными главами.</w:t>
      </w:r>
    </w:p>
    <w:p w:rsidR="004C4161" w:rsidRPr="00386E32" w:rsidRDefault="004C4161" w:rsidP="0018391B">
      <w:pPr>
        <w:spacing w:line="360" w:lineRule="auto"/>
        <w:ind w:firstLine="708"/>
        <w:jc w:val="both"/>
        <w:rPr>
          <w:sz w:val="28"/>
          <w:szCs w:val="28"/>
        </w:rPr>
      </w:pPr>
      <w:r>
        <w:rPr>
          <w:sz w:val="28"/>
          <w:szCs w:val="28"/>
        </w:rPr>
        <w:t>Исторически значимой была цель, прежде всего политическая, когда возник вопрос о принятии этого документа. Обычные права получили в булле не простое законодательное утверждение.</w:t>
      </w:r>
      <w:r w:rsidR="008F1387">
        <w:rPr>
          <w:sz w:val="28"/>
          <w:szCs w:val="28"/>
        </w:rPr>
        <w:t xml:space="preserve">  Они вносились императором для обсуждения с целью упрочить имперское законодательство, сохранить единство Империи, внутренний мир, суверенитет, запретить раздоры и их пагубные последствия для государства.</w:t>
      </w:r>
      <w:r>
        <w:rPr>
          <w:sz w:val="28"/>
          <w:szCs w:val="28"/>
        </w:rPr>
        <w:t xml:space="preserve"> </w:t>
      </w:r>
    </w:p>
    <w:p w:rsidR="00B46E4E" w:rsidRPr="006A1CA1" w:rsidRDefault="00B46E4E" w:rsidP="0018391B">
      <w:pPr>
        <w:spacing w:line="360" w:lineRule="auto"/>
        <w:ind w:firstLine="708"/>
        <w:jc w:val="both"/>
        <w:rPr>
          <w:sz w:val="28"/>
          <w:szCs w:val="28"/>
        </w:rPr>
      </w:pPr>
    </w:p>
    <w:p w:rsidR="00B557A8" w:rsidRDefault="00EE010E" w:rsidP="0018391B">
      <w:pPr>
        <w:spacing w:line="360" w:lineRule="auto"/>
        <w:ind w:firstLine="708"/>
        <w:jc w:val="both"/>
        <w:rPr>
          <w:sz w:val="28"/>
          <w:szCs w:val="28"/>
        </w:rPr>
      </w:pPr>
      <w:r>
        <w:rPr>
          <w:sz w:val="28"/>
          <w:szCs w:val="28"/>
        </w:rPr>
        <w:t xml:space="preserve"> </w:t>
      </w:r>
      <w:r w:rsidR="00B557A8">
        <w:rPr>
          <w:sz w:val="28"/>
          <w:szCs w:val="28"/>
        </w:rPr>
        <w:t xml:space="preserve"> </w:t>
      </w:r>
    </w:p>
    <w:p w:rsidR="00A010EA" w:rsidRDefault="00A010EA" w:rsidP="0018391B">
      <w:pPr>
        <w:spacing w:line="360" w:lineRule="auto"/>
        <w:ind w:firstLine="708"/>
        <w:jc w:val="both"/>
        <w:rPr>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18391B">
      <w:pPr>
        <w:spacing w:line="360" w:lineRule="auto"/>
        <w:ind w:firstLine="708"/>
        <w:jc w:val="both"/>
        <w:rPr>
          <w:b/>
          <w:sz w:val="28"/>
          <w:szCs w:val="28"/>
        </w:rPr>
      </w:pPr>
    </w:p>
    <w:p w:rsidR="0018391B" w:rsidRDefault="0018391B" w:rsidP="00711EC7">
      <w:pPr>
        <w:spacing w:line="360" w:lineRule="auto"/>
        <w:jc w:val="both"/>
        <w:rPr>
          <w:b/>
          <w:sz w:val="28"/>
          <w:szCs w:val="28"/>
        </w:rPr>
      </w:pPr>
    </w:p>
    <w:p w:rsidR="0018391B" w:rsidRPr="00711EC7" w:rsidRDefault="00711EC7" w:rsidP="00711EC7">
      <w:pPr>
        <w:spacing w:line="360" w:lineRule="auto"/>
        <w:ind w:firstLine="708"/>
        <w:jc w:val="center"/>
        <w:rPr>
          <w:sz w:val="22"/>
          <w:szCs w:val="22"/>
        </w:rPr>
      </w:pPr>
      <w:r w:rsidRPr="00711EC7">
        <w:rPr>
          <w:sz w:val="22"/>
          <w:szCs w:val="22"/>
        </w:rPr>
        <w:t>13</w:t>
      </w:r>
    </w:p>
    <w:p w:rsidR="00F2192C" w:rsidRDefault="008F0769" w:rsidP="007E72F8">
      <w:pPr>
        <w:spacing w:line="360" w:lineRule="auto"/>
        <w:jc w:val="center"/>
        <w:rPr>
          <w:b/>
          <w:sz w:val="28"/>
          <w:szCs w:val="28"/>
        </w:rPr>
      </w:pPr>
      <w:r>
        <w:rPr>
          <w:b/>
          <w:sz w:val="28"/>
          <w:szCs w:val="28"/>
        </w:rPr>
        <w:t>Заключение</w:t>
      </w:r>
    </w:p>
    <w:p w:rsidR="00F2192C" w:rsidRDefault="00F2192C" w:rsidP="0018391B">
      <w:pPr>
        <w:spacing w:line="360" w:lineRule="auto"/>
        <w:ind w:firstLine="708"/>
        <w:jc w:val="both"/>
        <w:rPr>
          <w:sz w:val="28"/>
          <w:szCs w:val="28"/>
        </w:rPr>
      </w:pPr>
      <w:r>
        <w:rPr>
          <w:sz w:val="28"/>
          <w:szCs w:val="28"/>
        </w:rPr>
        <w:t xml:space="preserve">Времена правления Карла </w:t>
      </w:r>
      <w:r>
        <w:rPr>
          <w:sz w:val="28"/>
          <w:szCs w:val="28"/>
          <w:lang w:val="en-US"/>
        </w:rPr>
        <w:t>IV</w:t>
      </w:r>
      <w:r w:rsidRPr="00F86ADD">
        <w:rPr>
          <w:sz w:val="28"/>
          <w:szCs w:val="28"/>
        </w:rPr>
        <w:t xml:space="preserve"> </w:t>
      </w:r>
      <w:r>
        <w:rPr>
          <w:sz w:val="28"/>
          <w:szCs w:val="28"/>
        </w:rPr>
        <w:t xml:space="preserve">важны для Германии главным образом, потому что он выпустил постановление, которое после долгих обсуждений в Нюрнберге было окончательно оформлено, и получило </w:t>
      </w:r>
      <w:r w:rsidR="00F34B5C">
        <w:rPr>
          <w:sz w:val="28"/>
          <w:szCs w:val="28"/>
        </w:rPr>
        <w:t>название «Золотая Булла»</w:t>
      </w:r>
      <w:r>
        <w:rPr>
          <w:sz w:val="28"/>
          <w:szCs w:val="28"/>
        </w:rPr>
        <w:t xml:space="preserve">. Согласно Золотой Булле зафиксированная ею форма правления может быть названа одновременно монархической (выборная монархия) и олигархической ( фактическое правление семи курфюрстов). </w:t>
      </w:r>
    </w:p>
    <w:p w:rsidR="00F2192C" w:rsidRDefault="00F2192C" w:rsidP="0018391B">
      <w:pPr>
        <w:spacing w:line="360" w:lineRule="auto"/>
        <w:ind w:firstLine="708"/>
        <w:jc w:val="both"/>
        <w:rPr>
          <w:sz w:val="28"/>
          <w:szCs w:val="28"/>
        </w:rPr>
      </w:pPr>
      <w:r>
        <w:rPr>
          <w:sz w:val="28"/>
          <w:szCs w:val="28"/>
        </w:rPr>
        <w:t>«Не следует забывать, что эта Булла до самого конца Германской империи составляла основной закон ее организации, ее строя, а поэтому положила во многих отношениях конец своеволию».</w:t>
      </w:r>
      <w:r>
        <w:rPr>
          <w:rStyle w:val="a4"/>
          <w:sz w:val="28"/>
          <w:szCs w:val="28"/>
        </w:rPr>
        <w:footnoteReference w:id="14"/>
      </w:r>
    </w:p>
    <w:p w:rsidR="00B70F04" w:rsidRDefault="00977A5D" w:rsidP="0018391B">
      <w:pPr>
        <w:spacing w:line="360" w:lineRule="auto"/>
        <w:ind w:firstLine="708"/>
        <w:jc w:val="both"/>
        <w:rPr>
          <w:sz w:val="28"/>
          <w:szCs w:val="28"/>
        </w:rPr>
      </w:pPr>
      <w:r>
        <w:rPr>
          <w:sz w:val="28"/>
          <w:szCs w:val="28"/>
        </w:rPr>
        <w:t>«Золотая Булла» узаконивала и расширяла также «права территориального верховенства в пределах княжеств</w:t>
      </w:r>
      <w:r w:rsidR="00EE0E1F">
        <w:rPr>
          <w:sz w:val="28"/>
          <w:szCs w:val="28"/>
        </w:rPr>
        <w:t>. Правда, она распространяла их только на курфюршества, но предоставленные им привилегии оказали потом обратное влияние на претензии остальных князей. «Золотая Булла» установила неделимость курфюршеств, передавала курфюрстам права на рудники, на чеканку монеты, на полную высшую юрисдикцию над их подданными».</w:t>
      </w:r>
      <w:r w:rsidR="00EE0E1F">
        <w:rPr>
          <w:rStyle w:val="a4"/>
          <w:sz w:val="28"/>
          <w:szCs w:val="28"/>
        </w:rPr>
        <w:footnoteReference w:id="15"/>
      </w:r>
      <w:r w:rsidR="00EE0E1F">
        <w:rPr>
          <w:sz w:val="28"/>
          <w:szCs w:val="28"/>
        </w:rPr>
        <w:t xml:space="preserve"> </w:t>
      </w:r>
    </w:p>
    <w:p w:rsidR="00EE0E1F" w:rsidRDefault="00EE0E1F" w:rsidP="0018391B">
      <w:pPr>
        <w:spacing w:line="360" w:lineRule="auto"/>
        <w:ind w:firstLine="708"/>
        <w:jc w:val="both"/>
        <w:rPr>
          <w:sz w:val="28"/>
          <w:szCs w:val="28"/>
        </w:rPr>
      </w:pPr>
      <w:r>
        <w:rPr>
          <w:sz w:val="28"/>
          <w:szCs w:val="28"/>
        </w:rPr>
        <w:t>Согласно «Золотой Булле», курфюршества рассматривались как полунезависимые государства в составе империи, объединившиеся тем, что являлись подданными короля и императора, и лишенные только права самостоятельно вести войны и заключать мир с иностранными государствами.</w:t>
      </w:r>
    </w:p>
    <w:p w:rsidR="00F86ADD" w:rsidRDefault="00EE0E1F" w:rsidP="0018391B">
      <w:pPr>
        <w:spacing w:line="360" w:lineRule="auto"/>
        <w:ind w:firstLine="708"/>
        <w:jc w:val="both"/>
        <w:rPr>
          <w:sz w:val="28"/>
          <w:szCs w:val="28"/>
        </w:rPr>
      </w:pPr>
      <w:r>
        <w:rPr>
          <w:sz w:val="28"/>
          <w:szCs w:val="28"/>
        </w:rPr>
        <w:t xml:space="preserve">Таким образом «Золотая Булла» </w:t>
      </w:r>
      <w:r w:rsidR="0018391B">
        <w:rPr>
          <w:sz w:val="28"/>
          <w:szCs w:val="28"/>
        </w:rPr>
        <w:t>«</w:t>
      </w:r>
      <w:r>
        <w:rPr>
          <w:sz w:val="28"/>
          <w:szCs w:val="28"/>
        </w:rPr>
        <w:t>закрепила олигархию крупных князей Германии</w:t>
      </w:r>
      <w:r w:rsidR="0018391B">
        <w:rPr>
          <w:sz w:val="28"/>
          <w:szCs w:val="28"/>
        </w:rPr>
        <w:t>, которая уже сложилась задолго до этого акта»</w:t>
      </w:r>
      <w:r w:rsidR="0018391B">
        <w:rPr>
          <w:rStyle w:val="a4"/>
          <w:sz w:val="28"/>
          <w:szCs w:val="28"/>
        </w:rPr>
        <w:footnoteReference w:id="16"/>
      </w:r>
      <w:r w:rsidR="0018391B">
        <w:rPr>
          <w:sz w:val="28"/>
          <w:szCs w:val="28"/>
        </w:rPr>
        <w:t>, и политическую раздробленность страны.</w:t>
      </w:r>
    </w:p>
    <w:p w:rsidR="00482B24" w:rsidRDefault="00482B24" w:rsidP="0018391B">
      <w:pPr>
        <w:spacing w:line="360" w:lineRule="auto"/>
        <w:ind w:firstLine="708"/>
        <w:jc w:val="both"/>
        <w:rPr>
          <w:sz w:val="28"/>
          <w:szCs w:val="28"/>
        </w:rPr>
      </w:pPr>
    </w:p>
    <w:p w:rsidR="00482B24" w:rsidRDefault="00482B24" w:rsidP="0018391B">
      <w:pPr>
        <w:spacing w:line="360" w:lineRule="auto"/>
        <w:ind w:firstLine="708"/>
        <w:jc w:val="both"/>
        <w:rPr>
          <w:sz w:val="28"/>
          <w:szCs w:val="28"/>
        </w:rPr>
      </w:pPr>
    </w:p>
    <w:p w:rsidR="00482B24" w:rsidRDefault="00482B24" w:rsidP="0018391B">
      <w:pPr>
        <w:spacing w:line="360" w:lineRule="auto"/>
        <w:ind w:firstLine="708"/>
        <w:jc w:val="both"/>
        <w:rPr>
          <w:sz w:val="28"/>
          <w:szCs w:val="28"/>
        </w:rPr>
      </w:pPr>
    </w:p>
    <w:p w:rsidR="00482B24" w:rsidRPr="00645F81" w:rsidRDefault="00482B24" w:rsidP="00482B24">
      <w:pPr>
        <w:spacing w:line="360" w:lineRule="auto"/>
        <w:jc w:val="center"/>
        <w:rPr>
          <w:sz w:val="22"/>
          <w:szCs w:val="22"/>
        </w:rPr>
      </w:pPr>
      <w:r>
        <w:rPr>
          <w:sz w:val="22"/>
          <w:szCs w:val="22"/>
        </w:rPr>
        <w:t>14</w:t>
      </w:r>
    </w:p>
    <w:p w:rsidR="00482B24" w:rsidRDefault="00482B24" w:rsidP="00482B24">
      <w:pPr>
        <w:spacing w:line="360" w:lineRule="auto"/>
        <w:jc w:val="center"/>
        <w:rPr>
          <w:b/>
          <w:sz w:val="28"/>
          <w:szCs w:val="28"/>
        </w:rPr>
      </w:pPr>
      <w:r w:rsidRPr="00FB480E">
        <w:rPr>
          <w:b/>
          <w:sz w:val="28"/>
          <w:szCs w:val="28"/>
        </w:rPr>
        <w:t>Список использованной литературы:</w:t>
      </w:r>
    </w:p>
    <w:p w:rsidR="00482B24" w:rsidRDefault="00482B24" w:rsidP="00482B24">
      <w:pPr>
        <w:spacing w:line="360" w:lineRule="auto"/>
        <w:jc w:val="center"/>
        <w:rPr>
          <w:b/>
          <w:sz w:val="28"/>
          <w:szCs w:val="28"/>
        </w:rPr>
      </w:pPr>
    </w:p>
    <w:p w:rsidR="00482B24" w:rsidRDefault="00482B24" w:rsidP="00482B24">
      <w:pPr>
        <w:spacing w:line="360" w:lineRule="auto"/>
        <w:jc w:val="center"/>
        <w:rPr>
          <w:b/>
          <w:sz w:val="28"/>
          <w:szCs w:val="28"/>
        </w:rPr>
      </w:pPr>
    </w:p>
    <w:p w:rsidR="00482B24" w:rsidRDefault="00482B24" w:rsidP="00482B24">
      <w:pPr>
        <w:numPr>
          <w:ilvl w:val="0"/>
          <w:numId w:val="1"/>
        </w:numPr>
        <w:spacing w:line="360" w:lineRule="auto"/>
        <w:rPr>
          <w:sz w:val="28"/>
          <w:szCs w:val="28"/>
        </w:rPr>
      </w:pPr>
      <w:r>
        <w:rPr>
          <w:sz w:val="28"/>
          <w:szCs w:val="28"/>
        </w:rPr>
        <w:t>Декреталий «</w:t>
      </w:r>
      <w:r>
        <w:rPr>
          <w:sz w:val="28"/>
          <w:szCs w:val="28"/>
          <w:lang w:val="en-US"/>
        </w:rPr>
        <w:t>Venerabilem</w:t>
      </w:r>
      <w:r>
        <w:rPr>
          <w:sz w:val="28"/>
          <w:szCs w:val="28"/>
        </w:rPr>
        <w:t xml:space="preserve">» Иннонтия </w:t>
      </w:r>
      <w:r>
        <w:rPr>
          <w:sz w:val="28"/>
          <w:szCs w:val="28"/>
          <w:lang w:val="en-US"/>
        </w:rPr>
        <w:t>III</w:t>
      </w:r>
      <w:r>
        <w:rPr>
          <w:sz w:val="28"/>
          <w:szCs w:val="28"/>
        </w:rPr>
        <w:t xml:space="preserve"> в пользу Оттона </w:t>
      </w:r>
      <w:r>
        <w:rPr>
          <w:sz w:val="28"/>
          <w:szCs w:val="28"/>
          <w:lang w:val="en-US"/>
        </w:rPr>
        <w:t>IV</w:t>
      </w:r>
      <w:r>
        <w:rPr>
          <w:sz w:val="28"/>
          <w:szCs w:val="28"/>
        </w:rPr>
        <w:t xml:space="preserve">; Резолюция в Рензе относительно избрания короля; Закон Людвига Баварского об избрании императора (август 1338 г., Франкфурт); Фрагменты из «Защитника мира» Марсилия Падуанского (1324)// Хрестоматия памятников по истории феодального государства и права стран Европы/ Под ред. В.И.Корецкого. М., 1961. </w:t>
      </w:r>
    </w:p>
    <w:p w:rsidR="00482B24" w:rsidRDefault="00482B24" w:rsidP="00482B24">
      <w:pPr>
        <w:numPr>
          <w:ilvl w:val="0"/>
          <w:numId w:val="1"/>
        </w:numPr>
        <w:spacing w:line="360" w:lineRule="auto"/>
        <w:rPr>
          <w:sz w:val="28"/>
          <w:szCs w:val="28"/>
        </w:rPr>
      </w:pPr>
      <w:r>
        <w:rPr>
          <w:sz w:val="28"/>
          <w:szCs w:val="28"/>
        </w:rPr>
        <w:t xml:space="preserve">Документы по истории политической борьбы на имперских собраниях (рейхстагах) в Германии в конце  </w:t>
      </w:r>
      <w:r>
        <w:rPr>
          <w:sz w:val="28"/>
          <w:szCs w:val="28"/>
          <w:lang w:val="en-US"/>
        </w:rPr>
        <w:t>XIV</w:t>
      </w:r>
      <w:r>
        <w:rPr>
          <w:sz w:val="28"/>
          <w:szCs w:val="28"/>
        </w:rPr>
        <w:t xml:space="preserve"> в. Публикация, вступительная статья и комментарии М.А.Бойцова//Средние века. 1986. Вып.49</w:t>
      </w:r>
    </w:p>
    <w:p w:rsidR="00482B24" w:rsidRDefault="00482B24" w:rsidP="00482B24">
      <w:pPr>
        <w:numPr>
          <w:ilvl w:val="0"/>
          <w:numId w:val="1"/>
        </w:numPr>
        <w:spacing w:line="360" w:lineRule="auto"/>
        <w:rPr>
          <w:sz w:val="28"/>
          <w:szCs w:val="28"/>
        </w:rPr>
      </w:pPr>
      <w:r>
        <w:rPr>
          <w:sz w:val="28"/>
          <w:szCs w:val="28"/>
        </w:rPr>
        <w:t>Батыр К.И. Всеобщая история государства и права. – М., 1995</w:t>
      </w:r>
    </w:p>
    <w:p w:rsidR="00482B24" w:rsidRDefault="00482B24" w:rsidP="00482B24">
      <w:pPr>
        <w:numPr>
          <w:ilvl w:val="0"/>
          <w:numId w:val="1"/>
        </w:numPr>
        <w:spacing w:line="360" w:lineRule="auto"/>
        <w:rPr>
          <w:sz w:val="28"/>
          <w:szCs w:val="28"/>
        </w:rPr>
      </w:pPr>
      <w:r>
        <w:rPr>
          <w:sz w:val="28"/>
          <w:szCs w:val="28"/>
        </w:rPr>
        <w:t>Библиография по всеобщей истории государства и права (1918-1978). – М., 1979</w:t>
      </w:r>
    </w:p>
    <w:p w:rsidR="00482B24" w:rsidRDefault="00482B24" w:rsidP="00482B24">
      <w:pPr>
        <w:numPr>
          <w:ilvl w:val="0"/>
          <w:numId w:val="1"/>
        </w:numPr>
        <w:spacing w:line="360" w:lineRule="auto"/>
        <w:rPr>
          <w:sz w:val="28"/>
          <w:szCs w:val="28"/>
        </w:rPr>
      </w:pPr>
      <w:r>
        <w:rPr>
          <w:sz w:val="28"/>
          <w:szCs w:val="28"/>
        </w:rPr>
        <w:t>Бойцов М.А. Золотая Булла 1356 г. и королевская власть в Германии во</w:t>
      </w:r>
      <w:r w:rsidRPr="00C218F1">
        <w:rPr>
          <w:sz w:val="28"/>
          <w:szCs w:val="28"/>
        </w:rPr>
        <w:t xml:space="preserve"> </w:t>
      </w:r>
      <w:r>
        <w:rPr>
          <w:sz w:val="28"/>
          <w:szCs w:val="28"/>
        </w:rPr>
        <w:t>II</w:t>
      </w:r>
      <w:r w:rsidRPr="00C218F1">
        <w:rPr>
          <w:sz w:val="28"/>
          <w:szCs w:val="28"/>
        </w:rPr>
        <w:t xml:space="preserve"> </w:t>
      </w:r>
      <w:r>
        <w:rPr>
          <w:sz w:val="28"/>
          <w:szCs w:val="28"/>
        </w:rPr>
        <w:t xml:space="preserve">половине </w:t>
      </w:r>
      <w:r>
        <w:rPr>
          <w:sz w:val="28"/>
          <w:szCs w:val="28"/>
          <w:lang w:val="en-US"/>
        </w:rPr>
        <w:t>XIV</w:t>
      </w:r>
      <w:r>
        <w:rPr>
          <w:sz w:val="28"/>
          <w:szCs w:val="28"/>
        </w:rPr>
        <w:t xml:space="preserve"> в. // Средние века. – М., 1989. – Вып.52</w:t>
      </w:r>
    </w:p>
    <w:p w:rsidR="00482B24" w:rsidRDefault="00482B24" w:rsidP="00482B24">
      <w:pPr>
        <w:numPr>
          <w:ilvl w:val="0"/>
          <w:numId w:val="1"/>
        </w:numPr>
        <w:spacing w:line="360" w:lineRule="auto"/>
        <w:rPr>
          <w:sz w:val="28"/>
          <w:szCs w:val="28"/>
        </w:rPr>
      </w:pPr>
      <w:r>
        <w:rPr>
          <w:sz w:val="28"/>
          <w:szCs w:val="28"/>
        </w:rPr>
        <w:t>Галанза П.Н. Феодальное государство и право Германии.  – М., 1963</w:t>
      </w:r>
    </w:p>
    <w:p w:rsidR="00482B24" w:rsidRPr="00B364CC" w:rsidRDefault="00482B24" w:rsidP="00482B24">
      <w:pPr>
        <w:numPr>
          <w:ilvl w:val="0"/>
          <w:numId w:val="1"/>
        </w:numPr>
        <w:spacing w:line="360" w:lineRule="auto"/>
        <w:rPr>
          <w:sz w:val="28"/>
          <w:szCs w:val="28"/>
        </w:rPr>
      </w:pPr>
      <w:r w:rsidRPr="00B364CC">
        <w:rPr>
          <w:sz w:val="28"/>
          <w:szCs w:val="28"/>
        </w:rPr>
        <w:t>Гёте И.В. Собрание сочинений: В 10 Т. М., 1976. Т.3</w:t>
      </w:r>
    </w:p>
    <w:p w:rsidR="00482B24" w:rsidRPr="00C912CD" w:rsidRDefault="00482B24" w:rsidP="00482B24">
      <w:pPr>
        <w:numPr>
          <w:ilvl w:val="0"/>
          <w:numId w:val="1"/>
        </w:numPr>
        <w:spacing w:line="360" w:lineRule="auto"/>
        <w:rPr>
          <w:sz w:val="28"/>
          <w:szCs w:val="28"/>
        </w:rPr>
      </w:pPr>
      <w:r w:rsidRPr="00C912CD">
        <w:rPr>
          <w:sz w:val="28"/>
          <w:szCs w:val="28"/>
        </w:rPr>
        <w:t>Графский В.Г Всеобщая история права и государства. – М., 2003</w:t>
      </w:r>
    </w:p>
    <w:p w:rsidR="00482B24" w:rsidRDefault="00482B24" w:rsidP="00482B24">
      <w:pPr>
        <w:numPr>
          <w:ilvl w:val="0"/>
          <w:numId w:val="1"/>
        </w:numPr>
        <w:spacing w:line="360" w:lineRule="auto"/>
        <w:rPr>
          <w:sz w:val="28"/>
          <w:szCs w:val="28"/>
        </w:rPr>
      </w:pPr>
      <w:r>
        <w:rPr>
          <w:sz w:val="28"/>
          <w:szCs w:val="28"/>
        </w:rPr>
        <w:t>Егер О. Всемирная история. В 4 т . Т.2. Средние века. – М., 1999</w:t>
      </w:r>
    </w:p>
    <w:p w:rsidR="00482B24" w:rsidRDefault="00482B24" w:rsidP="00482B24">
      <w:pPr>
        <w:numPr>
          <w:ilvl w:val="0"/>
          <w:numId w:val="1"/>
        </w:numPr>
        <w:spacing w:line="360" w:lineRule="auto"/>
        <w:rPr>
          <w:sz w:val="28"/>
          <w:szCs w:val="28"/>
        </w:rPr>
      </w:pPr>
      <w:r>
        <w:rPr>
          <w:sz w:val="28"/>
          <w:szCs w:val="28"/>
        </w:rPr>
        <w:t>История средних веков. Библиографический указатель литературы, изданной в СССР. Т.1, 1918-1957. Под ред. Симона К.Р.</w:t>
      </w:r>
    </w:p>
    <w:p w:rsidR="00482B24" w:rsidRDefault="00482B24" w:rsidP="00482B24">
      <w:pPr>
        <w:numPr>
          <w:ilvl w:val="0"/>
          <w:numId w:val="1"/>
        </w:numPr>
        <w:spacing w:line="360" w:lineRule="auto"/>
        <w:rPr>
          <w:sz w:val="28"/>
          <w:szCs w:val="28"/>
        </w:rPr>
      </w:pPr>
      <w:r>
        <w:rPr>
          <w:sz w:val="28"/>
          <w:szCs w:val="28"/>
        </w:rPr>
        <w:t>Колесницкий Н.Ф. О возникновении германского рейхстага//Средние века. 1993. Вып.56</w:t>
      </w:r>
    </w:p>
    <w:p w:rsidR="00482B24" w:rsidRDefault="00482B24" w:rsidP="00482B24">
      <w:pPr>
        <w:numPr>
          <w:ilvl w:val="0"/>
          <w:numId w:val="1"/>
        </w:numPr>
        <w:spacing w:line="360" w:lineRule="auto"/>
        <w:rPr>
          <w:sz w:val="28"/>
          <w:szCs w:val="28"/>
        </w:rPr>
      </w:pPr>
      <w:r>
        <w:rPr>
          <w:sz w:val="28"/>
          <w:szCs w:val="28"/>
        </w:rPr>
        <w:t xml:space="preserve">Леонтьевский А.В. Хрестоматия по истории Германии </w:t>
      </w:r>
      <w:r>
        <w:rPr>
          <w:sz w:val="28"/>
          <w:szCs w:val="28"/>
          <w:lang w:val="en-US"/>
        </w:rPr>
        <w:t>XIV</w:t>
      </w:r>
      <w:r>
        <w:rPr>
          <w:sz w:val="28"/>
          <w:szCs w:val="28"/>
        </w:rPr>
        <w:t xml:space="preserve"> в. Р-н/Д, 2001</w:t>
      </w:r>
    </w:p>
    <w:p w:rsidR="00482B24" w:rsidRDefault="00482B24" w:rsidP="00482B24">
      <w:pPr>
        <w:numPr>
          <w:ilvl w:val="0"/>
          <w:numId w:val="1"/>
        </w:numPr>
        <w:spacing w:line="360" w:lineRule="auto"/>
        <w:rPr>
          <w:sz w:val="28"/>
          <w:szCs w:val="28"/>
        </w:rPr>
      </w:pPr>
      <w:r>
        <w:rPr>
          <w:sz w:val="28"/>
          <w:szCs w:val="28"/>
        </w:rPr>
        <w:t>Неусыхин А.И. Проблемы европейского феодализма. М., 1974</w:t>
      </w:r>
    </w:p>
    <w:p w:rsidR="00482B24" w:rsidRDefault="00482B24" w:rsidP="00482B24">
      <w:pPr>
        <w:spacing w:line="360" w:lineRule="auto"/>
        <w:rPr>
          <w:sz w:val="28"/>
          <w:szCs w:val="28"/>
        </w:rPr>
      </w:pPr>
    </w:p>
    <w:p w:rsidR="00482B24" w:rsidRPr="0080159F" w:rsidRDefault="00482B24" w:rsidP="00482B24">
      <w:pPr>
        <w:spacing w:line="360" w:lineRule="auto"/>
        <w:ind w:left="360"/>
        <w:jc w:val="center"/>
        <w:rPr>
          <w:sz w:val="22"/>
          <w:szCs w:val="22"/>
        </w:rPr>
      </w:pPr>
      <w:r w:rsidRPr="0080159F">
        <w:rPr>
          <w:sz w:val="22"/>
          <w:szCs w:val="22"/>
        </w:rPr>
        <w:t>15</w:t>
      </w:r>
    </w:p>
    <w:p w:rsidR="00482B24" w:rsidRDefault="00482B24" w:rsidP="00482B24">
      <w:pPr>
        <w:numPr>
          <w:ilvl w:val="0"/>
          <w:numId w:val="1"/>
        </w:numPr>
        <w:spacing w:line="360" w:lineRule="auto"/>
        <w:rPr>
          <w:sz w:val="28"/>
          <w:szCs w:val="28"/>
        </w:rPr>
      </w:pPr>
      <w:r>
        <w:rPr>
          <w:sz w:val="28"/>
          <w:szCs w:val="28"/>
        </w:rPr>
        <w:t>Сборник документов по всеобщей истории государства и права. Сост. К.Е. Ливанцев. – Л., 1977</w:t>
      </w:r>
    </w:p>
    <w:p w:rsidR="00482B24" w:rsidRDefault="00482B24" w:rsidP="00482B24">
      <w:pPr>
        <w:numPr>
          <w:ilvl w:val="0"/>
          <w:numId w:val="1"/>
        </w:numPr>
        <w:spacing w:line="360" w:lineRule="auto"/>
        <w:rPr>
          <w:sz w:val="28"/>
          <w:szCs w:val="28"/>
        </w:rPr>
      </w:pPr>
      <w:r>
        <w:rPr>
          <w:sz w:val="28"/>
          <w:szCs w:val="28"/>
        </w:rPr>
        <w:t>Хрестоматия памятников феодального государства и права стран Европы. – М., 1961. Под ред. Корецкого В.М.</w:t>
      </w:r>
    </w:p>
    <w:p w:rsidR="00482B24" w:rsidRDefault="00482B24" w:rsidP="00482B24">
      <w:pPr>
        <w:spacing w:line="360" w:lineRule="auto"/>
        <w:rPr>
          <w:sz w:val="28"/>
          <w:szCs w:val="28"/>
        </w:rPr>
      </w:pPr>
    </w:p>
    <w:p w:rsidR="00482B24" w:rsidRDefault="00482B24" w:rsidP="00482B24">
      <w:pPr>
        <w:spacing w:line="360" w:lineRule="auto"/>
        <w:rPr>
          <w:sz w:val="28"/>
          <w:szCs w:val="28"/>
        </w:rPr>
      </w:pPr>
    </w:p>
    <w:p w:rsidR="00482B24" w:rsidRDefault="00482B24" w:rsidP="00482B24">
      <w:pPr>
        <w:spacing w:line="360" w:lineRule="auto"/>
        <w:rPr>
          <w:sz w:val="28"/>
          <w:szCs w:val="28"/>
        </w:rPr>
      </w:pPr>
    </w:p>
    <w:p w:rsidR="00482B24" w:rsidRPr="00C912CD" w:rsidRDefault="00482B24" w:rsidP="00482B24">
      <w:pPr>
        <w:spacing w:line="360" w:lineRule="auto"/>
        <w:ind w:left="360"/>
        <w:rPr>
          <w:sz w:val="18"/>
          <w:szCs w:val="18"/>
        </w:rPr>
      </w:pPr>
    </w:p>
    <w:p w:rsidR="00482B24" w:rsidRPr="00FB480E" w:rsidRDefault="00482B24" w:rsidP="00482B24">
      <w:pPr>
        <w:spacing w:line="360" w:lineRule="auto"/>
        <w:rPr>
          <w:sz w:val="28"/>
          <w:szCs w:val="28"/>
        </w:rPr>
      </w:pPr>
    </w:p>
    <w:p w:rsidR="00482B24" w:rsidRDefault="00482B24" w:rsidP="0018391B">
      <w:pPr>
        <w:spacing w:line="360" w:lineRule="auto"/>
        <w:ind w:firstLine="708"/>
        <w:jc w:val="both"/>
        <w:rPr>
          <w:sz w:val="28"/>
          <w:szCs w:val="28"/>
        </w:rPr>
      </w:pPr>
    </w:p>
    <w:p w:rsidR="00F86ADD" w:rsidRDefault="00F86ADD" w:rsidP="0018391B">
      <w:pPr>
        <w:spacing w:line="360" w:lineRule="auto"/>
        <w:ind w:firstLine="708"/>
        <w:jc w:val="both"/>
        <w:rPr>
          <w:sz w:val="28"/>
          <w:szCs w:val="28"/>
        </w:rPr>
      </w:pPr>
    </w:p>
    <w:p w:rsidR="00F86ADD" w:rsidRDefault="00F86ADD" w:rsidP="0018391B">
      <w:pPr>
        <w:spacing w:line="360" w:lineRule="auto"/>
        <w:ind w:firstLine="708"/>
        <w:jc w:val="both"/>
        <w:rPr>
          <w:sz w:val="28"/>
          <w:szCs w:val="28"/>
        </w:rPr>
      </w:pPr>
    </w:p>
    <w:p w:rsidR="009B0C76" w:rsidRPr="00353F61" w:rsidRDefault="009B0C76" w:rsidP="0018391B">
      <w:pPr>
        <w:spacing w:line="360" w:lineRule="auto"/>
        <w:ind w:firstLine="708"/>
        <w:jc w:val="both"/>
        <w:rPr>
          <w:sz w:val="28"/>
          <w:szCs w:val="28"/>
        </w:rPr>
      </w:pPr>
      <w:bookmarkStart w:id="0" w:name="_GoBack"/>
      <w:bookmarkEnd w:id="0"/>
    </w:p>
    <w:sectPr w:rsidR="009B0C76" w:rsidRPr="00353F61" w:rsidSect="00711EC7">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6E" w:rsidRDefault="007506AA">
      <w:r>
        <w:separator/>
      </w:r>
    </w:p>
  </w:endnote>
  <w:endnote w:type="continuationSeparator" w:id="0">
    <w:p w:rsidR="001E2D6E" w:rsidRDefault="0075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6E" w:rsidRDefault="007506AA">
      <w:r>
        <w:separator/>
      </w:r>
    </w:p>
  </w:footnote>
  <w:footnote w:type="continuationSeparator" w:id="0">
    <w:p w:rsidR="001E2D6E" w:rsidRDefault="007506AA">
      <w:r>
        <w:continuationSeparator/>
      </w:r>
    </w:p>
  </w:footnote>
  <w:footnote w:id="1">
    <w:p w:rsidR="00A12CEC" w:rsidRDefault="00A12CEC">
      <w:pPr>
        <w:pStyle w:val="a3"/>
      </w:pPr>
      <w:r>
        <w:rPr>
          <w:rStyle w:val="a4"/>
        </w:rPr>
        <w:footnoteRef/>
      </w:r>
      <w:r>
        <w:t xml:space="preserve"> Гёте И.В. Собрание сочинений: В 10 Т. М., 1976. Т.3. С.132</w:t>
      </w:r>
    </w:p>
  </w:footnote>
  <w:footnote w:id="2">
    <w:p w:rsidR="00A12CEC" w:rsidRPr="00E85CEE" w:rsidRDefault="00A12CEC">
      <w:pPr>
        <w:pStyle w:val="a3"/>
      </w:pPr>
      <w:r>
        <w:rPr>
          <w:rStyle w:val="a4"/>
        </w:rPr>
        <w:footnoteRef/>
      </w:r>
      <w:r>
        <w:t xml:space="preserve"> Цит. по: Леонтьевский А.В. Хрестоматия по истории Германии </w:t>
      </w:r>
      <w:r>
        <w:rPr>
          <w:lang w:val="en-US"/>
        </w:rPr>
        <w:t>XIV</w:t>
      </w:r>
      <w:r>
        <w:t xml:space="preserve"> век. Р-н/Д, 2001. С.185</w:t>
      </w:r>
    </w:p>
  </w:footnote>
  <w:footnote w:id="3">
    <w:p w:rsidR="00A12CEC" w:rsidRDefault="00A12CEC">
      <w:pPr>
        <w:pStyle w:val="a3"/>
      </w:pPr>
      <w:r>
        <w:rPr>
          <w:rStyle w:val="a4"/>
        </w:rPr>
        <w:footnoteRef/>
      </w:r>
      <w:r>
        <w:t xml:space="preserve"> Галанза П.Н. Феодальное государство и право Германии. – М., 1963 С. 20</w:t>
      </w:r>
    </w:p>
  </w:footnote>
  <w:footnote w:id="4">
    <w:p w:rsidR="00A12CEC" w:rsidRDefault="00A12CEC">
      <w:pPr>
        <w:pStyle w:val="a3"/>
      </w:pPr>
      <w:r>
        <w:rPr>
          <w:rStyle w:val="a4"/>
        </w:rPr>
        <w:footnoteRef/>
      </w:r>
      <w:r>
        <w:t xml:space="preserve"> Там же</w:t>
      </w:r>
    </w:p>
  </w:footnote>
  <w:footnote w:id="5">
    <w:p w:rsidR="00A12CEC" w:rsidRDefault="00A12CEC" w:rsidP="008F0769">
      <w:pPr>
        <w:pStyle w:val="a3"/>
      </w:pPr>
      <w:r>
        <w:rPr>
          <w:rStyle w:val="a4"/>
        </w:rPr>
        <w:footnoteRef/>
      </w:r>
      <w:r>
        <w:t xml:space="preserve"> Графский В.Г Всеобщая история права и государства. – М., 2003. – с.301-302. </w:t>
      </w:r>
    </w:p>
  </w:footnote>
  <w:footnote w:id="6">
    <w:p w:rsidR="00A12CEC" w:rsidRDefault="00A12CEC" w:rsidP="008F0769">
      <w:pPr>
        <w:pStyle w:val="a3"/>
      </w:pPr>
      <w:r>
        <w:rPr>
          <w:rStyle w:val="a4"/>
        </w:rPr>
        <w:footnoteRef/>
      </w:r>
      <w:r>
        <w:t xml:space="preserve"> Сборник документов по всеобщей истории государства и права. Сост. К.Е. Ливанцев. – Л., 1977</w:t>
      </w:r>
    </w:p>
  </w:footnote>
  <w:footnote w:id="7">
    <w:p w:rsidR="00A12CEC" w:rsidRDefault="00A12CEC" w:rsidP="008F0769">
      <w:pPr>
        <w:pStyle w:val="a3"/>
      </w:pPr>
      <w:r>
        <w:rPr>
          <w:rStyle w:val="a4"/>
        </w:rPr>
        <w:footnoteRef/>
      </w:r>
      <w:r>
        <w:t xml:space="preserve"> Всеобщая история государства и права. Ред. К.И.Батыр. – М., 1999.</w:t>
      </w:r>
    </w:p>
  </w:footnote>
  <w:footnote w:id="8">
    <w:p w:rsidR="00A12CEC" w:rsidRDefault="00A12CEC" w:rsidP="008F0769">
      <w:pPr>
        <w:pStyle w:val="a3"/>
      </w:pPr>
      <w:r>
        <w:rPr>
          <w:rStyle w:val="a4"/>
        </w:rPr>
        <w:footnoteRef/>
      </w:r>
      <w:r>
        <w:t xml:space="preserve"> Сборник документов по всеобщей истории государства и права. Сост. К.Е. Ливанцев. – Л., 1977</w:t>
      </w:r>
    </w:p>
  </w:footnote>
  <w:footnote w:id="9">
    <w:p w:rsidR="00A12CEC" w:rsidRDefault="00A12CEC">
      <w:pPr>
        <w:pStyle w:val="a3"/>
      </w:pPr>
      <w:r>
        <w:rPr>
          <w:rStyle w:val="a4"/>
        </w:rPr>
        <w:footnoteRef/>
      </w:r>
      <w:r>
        <w:t xml:space="preserve"> Хрестоматия памятников феодального государства и права стран Европы.-М.,1961 Под ред.КорецкогоВ.М.</w:t>
      </w:r>
    </w:p>
  </w:footnote>
  <w:footnote w:id="10">
    <w:p w:rsidR="00A12CEC" w:rsidRPr="00577C40" w:rsidRDefault="00A12CEC">
      <w:pPr>
        <w:pStyle w:val="a3"/>
      </w:pPr>
      <w:r>
        <w:rPr>
          <w:rStyle w:val="a4"/>
        </w:rPr>
        <w:footnoteRef/>
      </w:r>
      <w:r w:rsidRPr="00577C40">
        <w:t xml:space="preserve"> </w:t>
      </w:r>
      <w:r>
        <w:t>Цит. по: Бойцов М.А. см.№9</w:t>
      </w:r>
    </w:p>
  </w:footnote>
  <w:footnote w:id="11">
    <w:p w:rsidR="00A12CEC" w:rsidRPr="00ED1261" w:rsidRDefault="00A12CEC">
      <w:pPr>
        <w:pStyle w:val="a3"/>
      </w:pPr>
      <w:r>
        <w:rPr>
          <w:rStyle w:val="a4"/>
        </w:rPr>
        <w:footnoteRef/>
      </w:r>
      <w:r>
        <w:t xml:space="preserve"> Бойцов М.А. Золотая Булла 1356 г. и королевская власть в Германии во </w:t>
      </w:r>
      <w:r>
        <w:rPr>
          <w:lang w:val="en-US"/>
        </w:rPr>
        <w:t>II</w:t>
      </w:r>
      <w:r>
        <w:t xml:space="preserve"> половине </w:t>
      </w:r>
      <w:r>
        <w:rPr>
          <w:lang w:val="en-US"/>
        </w:rPr>
        <w:t>XIV</w:t>
      </w:r>
      <w:r>
        <w:t xml:space="preserve"> в.// Средние века. – М, 1989. – Вып.52. С.25-46</w:t>
      </w:r>
    </w:p>
  </w:footnote>
  <w:footnote w:id="12">
    <w:p w:rsidR="00A12CEC" w:rsidRPr="00577C40" w:rsidRDefault="00A12CEC">
      <w:pPr>
        <w:pStyle w:val="a3"/>
      </w:pPr>
      <w:r>
        <w:rPr>
          <w:rStyle w:val="a4"/>
        </w:rPr>
        <w:footnoteRef/>
      </w:r>
      <w:r w:rsidRPr="00577C40">
        <w:t xml:space="preserve"> </w:t>
      </w:r>
      <w:r>
        <w:t>Цит. по: Бойцов М.А. см. №9</w:t>
      </w:r>
    </w:p>
  </w:footnote>
  <w:footnote w:id="13">
    <w:p w:rsidR="00A12CEC" w:rsidRPr="004C4161" w:rsidRDefault="00A12CEC">
      <w:pPr>
        <w:pStyle w:val="a3"/>
      </w:pPr>
      <w:r>
        <w:rPr>
          <w:rStyle w:val="a4"/>
        </w:rPr>
        <w:footnoteRef/>
      </w:r>
      <w:r>
        <w:t xml:space="preserve"> Цит. по: Леонтьевский А.В. Хрестоматия по истории Германии </w:t>
      </w:r>
      <w:r>
        <w:rPr>
          <w:lang w:val="en-US"/>
        </w:rPr>
        <w:t>XIV</w:t>
      </w:r>
      <w:r>
        <w:t>. Р – н/Д, 2001. С.193</w:t>
      </w:r>
    </w:p>
  </w:footnote>
  <w:footnote w:id="14">
    <w:p w:rsidR="00A12CEC" w:rsidRDefault="00A12CEC">
      <w:pPr>
        <w:pStyle w:val="a3"/>
      </w:pPr>
      <w:r>
        <w:rPr>
          <w:rStyle w:val="a4"/>
        </w:rPr>
        <w:footnoteRef/>
      </w:r>
      <w:r>
        <w:t xml:space="preserve"> Егер О. Всемирная история. В 4т. Т.2 Средние века. – М., 1999. С. 478-479</w:t>
      </w:r>
    </w:p>
  </w:footnote>
  <w:footnote w:id="15">
    <w:p w:rsidR="00A12CEC" w:rsidRDefault="00A12CEC">
      <w:pPr>
        <w:pStyle w:val="a3"/>
      </w:pPr>
      <w:r>
        <w:rPr>
          <w:rStyle w:val="a4"/>
        </w:rPr>
        <w:footnoteRef/>
      </w:r>
      <w:r>
        <w:t xml:space="preserve"> Неусыхин А.И. Проблемы европейского феодализма. М., 1974. С. 135</w:t>
      </w:r>
    </w:p>
  </w:footnote>
  <w:footnote w:id="16">
    <w:p w:rsidR="00A12CEC" w:rsidRDefault="00A12CEC">
      <w:pPr>
        <w:pStyle w:val="a3"/>
      </w:pPr>
      <w:r>
        <w:rPr>
          <w:rStyle w:val="a4"/>
        </w:rPr>
        <w:footnoteRef/>
      </w:r>
      <w:r>
        <w:t xml:space="preserve"> Галанза П.Н. Феодальное государство и право Германии. – М., 1963 С.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97929"/>
    <w:multiLevelType w:val="hybridMultilevel"/>
    <w:tmpl w:val="DAE06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A9C"/>
    <w:rsid w:val="0001323F"/>
    <w:rsid w:val="00133636"/>
    <w:rsid w:val="0018391B"/>
    <w:rsid w:val="001E2D6E"/>
    <w:rsid w:val="00353F61"/>
    <w:rsid w:val="00386E32"/>
    <w:rsid w:val="00474A9C"/>
    <w:rsid w:val="00482B24"/>
    <w:rsid w:val="004C4161"/>
    <w:rsid w:val="004E0BF6"/>
    <w:rsid w:val="00501E5E"/>
    <w:rsid w:val="00577C40"/>
    <w:rsid w:val="005E3943"/>
    <w:rsid w:val="006A1CA1"/>
    <w:rsid w:val="006F0DB9"/>
    <w:rsid w:val="00711EC7"/>
    <w:rsid w:val="00723119"/>
    <w:rsid w:val="007506AA"/>
    <w:rsid w:val="00751D31"/>
    <w:rsid w:val="007A1F09"/>
    <w:rsid w:val="007E72F8"/>
    <w:rsid w:val="0083693F"/>
    <w:rsid w:val="00841103"/>
    <w:rsid w:val="008A14F6"/>
    <w:rsid w:val="008B0110"/>
    <w:rsid w:val="008F0769"/>
    <w:rsid w:val="008F1387"/>
    <w:rsid w:val="00977A5D"/>
    <w:rsid w:val="0098242B"/>
    <w:rsid w:val="009B0C76"/>
    <w:rsid w:val="009F6258"/>
    <w:rsid w:val="00A010EA"/>
    <w:rsid w:val="00A12CEC"/>
    <w:rsid w:val="00A87FAD"/>
    <w:rsid w:val="00A91B1C"/>
    <w:rsid w:val="00AA0817"/>
    <w:rsid w:val="00AB4F9F"/>
    <w:rsid w:val="00B46E4E"/>
    <w:rsid w:val="00B557A8"/>
    <w:rsid w:val="00B70F04"/>
    <w:rsid w:val="00B72CB7"/>
    <w:rsid w:val="00BB656E"/>
    <w:rsid w:val="00C47963"/>
    <w:rsid w:val="00E72460"/>
    <w:rsid w:val="00E8034B"/>
    <w:rsid w:val="00E85CEE"/>
    <w:rsid w:val="00ED1261"/>
    <w:rsid w:val="00EE010E"/>
    <w:rsid w:val="00EE0E1F"/>
    <w:rsid w:val="00F2192C"/>
    <w:rsid w:val="00F34B5C"/>
    <w:rsid w:val="00F8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4F7646-7613-480F-AD52-9D783836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A1CA1"/>
    <w:rPr>
      <w:sz w:val="20"/>
      <w:szCs w:val="20"/>
    </w:rPr>
  </w:style>
  <w:style w:type="character" w:styleId="a4">
    <w:name w:val="footnote reference"/>
    <w:basedOn w:val="a0"/>
    <w:semiHidden/>
    <w:rsid w:val="006A1CA1"/>
    <w:rPr>
      <w:vertAlign w:val="superscript"/>
    </w:rPr>
  </w:style>
  <w:style w:type="paragraph" w:styleId="a5">
    <w:name w:val="Balloon Text"/>
    <w:basedOn w:val="a"/>
    <w:semiHidden/>
    <w:rsid w:val="00711EC7"/>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2553</Words>
  <Characters>14554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Историческая оценка Золотой Буллы</vt:lpstr>
    </vt:vector>
  </TitlesOfParts>
  <Company>Sveta &amp; Чика</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оценка Золотой Буллы</dc:title>
  <dc:subject/>
  <dc:creator>Marina</dc:creator>
  <cp:keywords/>
  <dc:description/>
  <cp:lastModifiedBy>admin</cp:lastModifiedBy>
  <cp:revision>2</cp:revision>
  <cp:lastPrinted>2004-12-13T10:29:00Z</cp:lastPrinted>
  <dcterms:created xsi:type="dcterms:W3CDTF">2014-05-06T00:10:00Z</dcterms:created>
  <dcterms:modified xsi:type="dcterms:W3CDTF">2014-05-06T00:10:00Z</dcterms:modified>
</cp:coreProperties>
</file>