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EF" w:rsidRDefault="004A509F" w:rsidP="00965BEF">
      <w:pPr>
        <w:ind w:firstLine="709"/>
      </w:pPr>
      <w:r w:rsidRPr="00965BEF">
        <w:t>Золото и благородные металлы всегда манили к себе человека</w:t>
      </w:r>
      <w:r w:rsidR="00965BEF" w:rsidRPr="00965BEF">
        <w:t xml:space="preserve">. </w:t>
      </w:r>
      <w:r w:rsidRPr="00965BEF">
        <w:t xml:space="preserve">Вначале как предмет украшения, а со временем </w:t>
      </w:r>
      <w:r w:rsidR="00965BEF">
        <w:t>-</w:t>
      </w:r>
      <w:r w:rsidRPr="00965BEF">
        <w:t xml:space="preserve"> как самый ходовой товар и средство накопления не только людей, но и целых стран</w:t>
      </w:r>
      <w:r w:rsidR="00965BEF" w:rsidRPr="00965BEF">
        <w:t xml:space="preserve">. </w:t>
      </w:r>
      <w:r w:rsidRPr="00965BEF">
        <w:t>Не мудрено, что обретя независимость, в Украине озаботились не только пополнением своих закромов, а стали более детально исследовать недра страны в поисках благородных металлов</w:t>
      </w:r>
      <w:r w:rsidR="00965BEF" w:rsidRPr="00965BEF">
        <w:t>.</w:t>
      </w:r>
    </w:p>
    <w:p w:rsidR="00965BEF" w:rsidRDefault="00965BEF" w:rsidP="00965BEF">
      <w:pPr>
        <w:ind w:firstLine="709"/>
      </w:pPr>
    </w:p>
    <w:p w:rsidR="004A509F" w:rsidRPr="00965BEF" w:rsidRDefault="004A509F" w:rsidP="00965BEF">
      <w:pPr>
        <w:ind w:firstLine="709"/>
      </w:pPr>
      <w:r w:rsidRPr="00965BEF">
        <w:t>Золото в мире</w:t>
      </w:r>
      <w:r w:rsidR="00965BEF" w:rsidRPr="00965BEF">
        <w:t xml:space="preserve">. </w:t>
      </w:r>
    </w:p>
    <w:tbl>
      <w:tblPr>
        <w:tblW w:w="89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5183"/>
        <w:gridCol w:w="1157"/>
      </w:tblGrid>
      <w:tr w:rsidR="004A509F" w:rsidRPr="00965BEF">
        <w:trPr>
          <w:jc w:val="center"/>
        </w:trPr>
        <w:tc>
          <w:tcPr>
            <w:tcW w:w="8960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Распределение запасов золота по материкам и странам</w:t>
            </w:r>
            <w:r w:rsidR="00965BEF">
              <w:t xml:space="preserve"> (</w:t>
            </w:r>
            <w:r w:rsidRPr="00965BEF">
              <w:t>без учёта России</w:t>
            </w:r>
            <w:r w:rsidR="00965BEF" w:rsidRPr="00965BEF">
              <w:t xml:space="preserve">) </w:t>
            </w:r>
          </w:p>
        </w:tc>
      </w:tr>
      <w:tr w:rsidR="004A509F" w:rsidRPr="00965BEF">
        <w:trPr>
          <w:jc w:val="center"/>
        </w:trPr>
        <w:tc>
          <w:tcPr>
            <w:tcW w:w="2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Африка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ЮАР, Гана, Мали и др</w:t>
            </w:r>
            <w:r w:rsidR="00965BEF" w:rsidRPr="00965BEF">
              <w:t xml:space="preserve">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42,0</w:t>
            </w:r>
          </w:p>
        </w:tc>
      </w:tr>
      <w:tr w:rsidR="004A509F" w:rsidRPr="00965BEF">
        <w:trPr>
          <w:jc w:val="center"/>
        </w:trPr>
        <w:tc>
          <w:tcPr>
            <w:tcW w:w="2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Америка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США, Канада, Чили и др</w:t>
            </w:r>
            <w:r w:rsidR="00965BEF" w:rsidRPr="00965BEF">
              <w:t xml:space="preserve">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27,7</w:t>
            </w:r>
          </w:p>
        </w:tc>
      </w:tr>
      <w:tr w:rsidR="004A509F" w:rsidRPr="00965BEF">
        <w:trPr>
          <w:jc w:val="center"/>
        </w:trPr>
        <w:tc>
          <w:tcPr>
            <w:tcW w:w="2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Азия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Индонезия, Узбекистан, Китай и др</w:t>
            </w:r>
            <w:r w:rsidR="00965BEF" w:rsidRPr="00965BEF">
              <w:t xml:space="preserve">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19,3</w:t>
            </w:r>
          </w:p>
        </w:tc>
      </w:tr>
      <w:tr w:rsidR="004A509F" w:rsidRPr="00965BEF">
        <w:trPr>
          <w:jc w:val="center"/>
        </w:trPr>
        <w:tc>
          <w:tcPr>
            <w:tcW w:w="2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Австралия и Океания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Австралия, Папуа-Новая Гвинея и др</w:t>
            </w:r>
            <w:r w:rsidR="00965BEF" w:rsidRPr="00965BEF">
              <w:t xml:space="preserve">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8,9</w:t>
            </w:r>
          </w:p>
        </w:tc>
      </w:tr>
      <w:tr w:rsidR="004A509F" w:rsidRPr="00965BEF">
        <w:trPr>
          <w:jc w:val="center"/>
        </w:trPr>
        <w:tc>
          <w:tcPr>
            <w:tcW w:w="26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Европа</w:t>
            </w:r>
          </w:p>
        </w:tc>
        <w:tc>
          <w:tcPr>
            <w:tcW w:w="5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Греция, Болгария, Хорватия, Швеция и др</w:t>
            </w:r>
            <w:r w:rsidR="00965BEF" w:rsidRPr="00965BEF">
              <w:t xml:space="preserve">. 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2,1</w:t>
            </w:r>
          </w:p>
        </w:tc>
      </w:tr>
    </w:tbl>
    <w:p w:rsidR="00965BEF" w:rsidRDefault="00965BEF" w:rsidP="00965BEF">
      <w:pPr>
        <w:ind w:firstLine="709"/>
      </w:pPr>
    </w:p>
    <w:p w:rsidR="004A509F" w:rsidRDefault="004A509F" w:rsidP="00965BEF">
      <w:pPr>
        <w:ind w:firstLine="709"/>
      </w:pPr>
      <w:r w:rsidRPr="00965BEF">
        <w:t>Месторождения и проявления золота известны в 117 странах мира, а его мировые ресурсы оценивались на начало XXI века в 100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. </w:t>
      </w:r>
      <w:r w:rsidRPr="00965BEF">
        <w:t>Основная часть этих ресурсов</w:t>
      </w:r>
      <w:r w:rsidR="00965BEF">
        <w:t xml:space="preserve"> (</w:t>
      </w:r>
      <w:r w:rsidRPr="00965BEF">
        <w:t>40-60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) </w:t>
      </w:r>
      <w:r w:rsidRPr="00965BEF">
        <w:t>заключена в разрабатывающихся более столетия месторождениях золотоносных конгломератов Витватерсранд в ЮАР</w:t>
      </w:r>
      <w:r w:rsidR="00965BEF" w:rsidRPr="00965BEF">
        <w:t xml:space="preserve">. </w:t>
      </w:r>
      <w:r w:rsidRPr="00965BEF">
        <w:t>Там они сконцентрированы на глубине более 3-4 км, а также в пределах некоторых менее изученных площадей на периферии этого района</w:t>
      </w:r>
      <w:r w:rsidR="00965BEF" w:rsidRPr="00965BEF">
        <w:t xml:space="preserve">. </w:t>
      </w:r>
      <w:r w:rsidRPr="00965BEF">
        <w:t>Кроме того, по 7-10 тыс</w:t>
      </w:r>
      <w:r w:rsidR="00965BEF" w:rsidRPr="00965BEF">
        <w:t xml:space="preserve">. </w:t>
      </w:r>
      <w:r w:rsidRPr="00965BEF">
        <w:t>тонн ресурсов</w:t>
      </w:r>
      <w:r w:rsidR="00965BEF">
        <w:t xml:space="preserve"> (</w:t>
      </w:r>
      <w:r w:rsidRPr="00965BEF">
        <w:t>5,5-6,5%</w:t>
      </w:r>
      <w:r w:rsidR="00965BEF" w:rsidRPr="00965BEF">
        <w:t xml:space="preserve">) </w:t>
      </w:r>
      <w:r w:rsidRPr="00965BEF">
        <w:t>находится на территории России, Китая, Бразилии</w:t>
      </w:r>
      <w:r w:rsidR="00965BEF" w:rsidRPr="00965BEF">
        <w:t xml:space="preserve">; </w:t>
      </w:r>
      <w:r w:rsidRPr="00965BEF">
        <w:t>5-7 тыс</w:t>
      </w:r>
      <w:r w:rsidR="00965BEF" w:rsidRPr="00965BEF">
        <w:t xml:space="preserve">. </w:t>
      </w:r>
      <w:r w:rsidRPr="00965BEF">
        <w:t>тонн</w:t>
      </w:r>
      <w:r w:rsidR="00965BEF">
        <w:t xml:space="preserve"> (</w:t>
      </w:r>
      <w:r w:rsidRPr="00965BEF">
        <w:t>4-4,5%</w:t>
      </w:r>
      <w:r w:rsidR="00965BEF" w:rsidRPr="00965BEF">
        <w:t xml:space="preserve">) </w:t>
      </w:r>
      <w:r w:rsidR="00965BEF">
        <w:t>-</w:t>
      </w:r>
      <w:r w:rsidRPr="00965BEF">
        <w:t xml:space="preserve"> в США</w:t>
      </w:r>
      <w:r w:rsidR="00965BEF" w:rsidRPr="00965BEF">
        <w:t xml:space="preserve">; </w:t>
      </w:r>
      <w:r w:rsidRPr="00965BEF">
        <w:t>по 2-5 тыс</w:t>
      </w:r>
      <w:r w:rsidR="00965BEF" w:rsidRPr="00965BEF">
        <w:t xml:space="preserve">. </w:t>
      </w:r>
      <w:r w:rsidRPr="00965BEF">
        <w:t>тонн</w:t>
      </w:r>
      <w:r w:rsidR="00965BEF">
        <w:t xml:space="preserve"> (</w:t>
      </w:r>
      <w:r w:rsidRPr="00965BEF">
        <w:t>2-4%</w:t>
      </w:r>
      <w:r w:rsidR="00965BEF" w:rsidRPr="00965BEF">
        <w:t xml:space="preserve">) </w:t>
      </w:r>
      <w:r w:rsidR="00965BEF">
        <w:t>-</w:t>
      </w:r>
      <w:r w:rsidRPr="00965BEF">
        <w:t xml:space="preserve"> в Австралии, Канаде, Венесуэле, Индонезии, Казахстане, Киргизии, Папуа-Новой Гвинее, Перу и Чили</w:t>
      </w:r>
      <w:r w:rsidR="00965BEF" w:rsidRPr="00965BEF">
        <w:t xml:space="preserve">. </w:t>
      </w:r>
    </w:p>
    <w:p w:rsidR="00965BEF" w:rsidRDefault="00965BEF" w:rsidP="00965BEF">
      <w:pPr>
        <w:ind w:firstLine="709"/>
      </w:pPr>
    </w:p>
    <w:tbl>
      <w:tblPr>
        <w:tblW w:w="735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2"/>
        <w:gridCol w:w="2640"/>
      </w:tblGrid>
      <w:tr w:rsidR="004A509F" w:rsidRPr="00965BEF">
        <w:trPr>
          <w:jc w:val="center"/>
        </w:trPr>
        <w:tc>
          <w:tcPr>
            <w:tcW w:w="7352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Ежегодная мировая добыча золота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Год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Тонн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1996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2 274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1997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2 449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1998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2 509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1999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2 515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2000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2 540</w:t>
            </w:r>
          </w:p>
        </w:tc>
      </w:tr>
      <w:tr w:rsidR="004A509F" w:rsidRPr="00965BEF">
        <w:trPr>
          <w:jc w:val="center"/>
        </w:trPr>
        <w:tc>
          <w:tcPr>
            <w:tcW w:w="471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2001</w:t>
            </w:r>
          </w:p>
        </w:tc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2 595</w:t>
            </w:r>
          </w:p>
        </w:tc>
      </w:tr>
    </w:tbl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Мировые общие запасы золота на начало 2000 года составляли 91850 тонн, а подтвержденные</w:t>
      </w:r>
      <w:r w:rsidR="00965BEF">
        <w:t xml:space="preserve"> (</w:t>
      </w:r>
      <w:r w:rsidRPr="00965BEF">
        <w:t>без учёта Российской Федерации</w:t>
      </w:r>
      <w:r w:rsidR="00965BEF" w:rsidRPr="00965BEF">
        <w:t xml:space="preserve">) </w:t>
      </w:r>
      <w:r w:rsidR="00965BEF">
        <w:t>-</w:t>
      </w:r>
      <w:r w:rsidRPr="00965BEF">
        <w:t xml:space="preserve"> 49170 тонн</w:t>
      </w:r>
      <w:r w:rsidR="00965BEF" w:rsidRPr="00965BEF">
        <w:t xml:space="preserve">. </w:t>
      </w:r>
      <w:r w:rsidRPr="00965BEF">
        <w:t>Мировая добыча золота ежегодно растет</w:t>
      </w:r>
      <w:r w:rsidR="00965BEF">
        <w:t xml:space="preserve"> (</w:t>
      </w:r>
      <w:r w:rsidRPr="00965BEF">
        <w:t>в среднем</w:t>
      </w:r>
      <w:r w:rsidR="00965BEF" w:rsidRPr="00965BEF">
        <w:t xml:space="preserve">) </w:t>
      </w:r>
      <w:r w:rsidRPr="00965BEF">
        <w:t>на 1-3%</w:t>
      </w:r>
      <w:r w:rsidR="00965BEF" w:rsidRPr="00965BEF">
        <w:t xml:space="preserve">. </w:t>
      </w:r>
      <w:r w:rsidRPr="00965BEF">
        <w:t>Крупнейшими золотодобывающими странами мира</w:t>
      </w:r>
      <w:r w:rsidR="00965BEF">
        <w:t xml:space="preserve"> (</w:t>
      </w:r>
      <w:r w:rsidRPr="00965BEF">
        <w:t>с годовой добычей более 100 тонн</w:t>
      </w:r>
      <w:r w:rsidR="00965BEF" w:rsidRPr="00965BEF">
        <w:t xml:space="preserve">) </w:t>
      </w:r>
      <w:r w:rsidRPr="00965BEF">
        <w:t xml:space="preserve">являются ЮАР, США, Австралия, Канада, Китай, Индонезия, Перу и Российская Федерация, а наибольшими экспортерами золота </w:t>
      </w:r>
      <w:r w:rsidR="00965BEF">
        <w:t>-</w:t>
      </w:r>
      <w:r w:rsidRPr="00965BEF">
        <w:t xml:space="preserve"> ЮАР</w:t>
      </w:r>
      <w:r w:rsidR="00965BEF">
        <w:t xml:space="preserve"> (</w:t>
      </w:r>
      <w:r w:rsidRPr="00965BEF">
        <w:t>продающая ежегодно около 500 тонн</w:t>
      </w:r>
      <w:r w:rsidR="00965BEF" w:rsidRPr="00965BEF">
        <w:t>),</w:t>
      </w:r>
      <w:r w:rsidRPr="00965BEF">
        <w:t xml:space="preserve"> Австралия и Канада</w:t>
      </w:r>
      <w:r w:rsidR="00965BEF">
        <w:t xml:space="preserve"> (</w:t>
      </w:r>
      <w:r w:rsidRPr="00965BEF">
        <w:t>из года в год экспортирующие более 150 тонн металла</w:t>
      </w:r>
      <w:r w:rsidR="00965BEF" w:rsidRPr="00965BEF">
        <w:t>).</w:t>
      </w:r>
    </w:p>
    <w:p w:rsidR="00965BEF" w:rsidRDefault="004A509F" w:rsidP="00965BEF">
      <w:pPr>
        <w:ind w:firstLine="709"/>
      </w:pPr>
      <w:r w:rsidRPr="00965BEF">
        <w:t>Среди стран, не имеющих собственной добычи или производящих недостаточное количество золота, выделяются крупные импортеры</w:t>
      </w:r>
      <w:r w:rsidR="00965BEF" w:rsidRPr="00965BEF">
        <w:t xml:space="preserve">. </w:t>
      </w:r>
      <w:r w:rsidRPr="00965BEF">
        <w:t>В основном это золото идёт на нужды ювелирной промышленности и технические цели</w:t>
      </w:r>
      <w:r w:rsidR="00965BEF" w:rsidRPr="00965BEF">
        <w:t xml:space="preserve">. </w:t>
      </w:r>
      <w:r w:rsidRPr="00965BEF">
        <w:t xml:space="preserve">Индия, например, ежегодно закупает не менее 400-450 тонн золота, а Япония, Турция и Тайвань </w:t>
      </w:r>
      <w:r w:rsidR="00965BEF">
        <w:t>-</w:t>
      </w:r>
      <w:r w:rsidRPr="00965BEF">
        <w:t xml:space="preserve"> более 100 тонн металла</w:t>
      </w:r>
      <w:r w:rsidR="00965BEF" w:rsidRPr="00965BEF">
        <w:t xml:space="preserve">. </w:t>
      </w:r>
      <w:r w:rsidRPr="00965BEF">
        <w:t>Группу средних импортеров, приобретающих 40-80 тонн</w:t>
      </w:r>
      <w:r w:rsidR="00965BEF">
        <w:t xml:space="preserve"> (</w:t>
      </w:r>
      <w:r w:rsidRPr="00965BEF">
        <w:t>реже до 100 тонн</w:t>
      </w:r>
      <w:r w:rsidR="00965BEF" w:rsidRPr="00965BEF">
        <w:t xml:space="preserve">) </w:t>
      </w:r>
      <w:r w:rsidRPr="00965BEF">
        <w:t>металла, формируют Китай, Индонезия, Малайзия, Египет, Южная Корея, Таиланд, Пакистан и ОАЭ</w:t>
      </w:r>
      <w:r w:rsidR="00965BEF" w:rsidRPr="00965BEF">
        <w:t xml:space="preserve">. </w:t>
      </w:r>
      <w:r w:rsidRPr="00965BEF">
        <w:t>В списке стран малых импортеров</w:t>
      </w:r>
      <w:r w:rsidR="00965BEF">
        <w:t xml:space="preserve"> (</w:t>
      </w:r>
      <w:r w:rsidRPr="00965BEF">
        <w:t>закупающих около 20-40 тонн в год</w:t>
      </w:r>
      <w:r w:rsidR="00965BEF" w:rsidRPr="00965BEF">
        <w:t xml:space="preserve">) </w:t>
      </w:r>
      <w:r w:rsidRPr="00965BEF">
        <w:t>фигурируют Иран, Сирия, Испания, Кувейт, Израиль, Греция, Португалия и некоторые другие</w:t>
      </w:r>
      <w:r w:rsidR="00965BEF" w:rsidRPr="00965BEF">
        <w:t>.</w:t>
      </w:r>
    </w:p>
    <w:p w:rsidR="00A74BC7" w:rsidRDefault="00A74BC7" w:rsidP="00965BEF">
      <w:pPr>
        <w:ind w:firstLine="709"/>
      </w:pPr>
    </w:p>
    <w:p w:rsidR="00965BEF" w:rsidRDefault="004A509F" w:rsidP="00A74BC7">
      <w:pPr>
        <w:pStyle w:val="2"/>
      </w:pPr>
      <w:r w:rsidRPr="00965BEF">
        <w:t>Месторождения золота</w:t>
      </w:r>
    </w:p>
    <w:p w:rsidR="00A74BC7" w:rsidRDefault="00A74BC7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Геолого-промышленные типы месторождений золота подразделяются на главные и второстепенные</w:t>
      </w:r>
      <w:r w:rsidR="00965BEF" w:rsidRPr="00965BEF">
        <w:t xml:space="preserve">. </w:t>
      </w:r>
      <w:r w:rsidRPr="00965BEF">
        <w:t>К главным относятся</w:t>
      </w:r>
      <w:r w:rsidR="00965BEF">
        <w:t>:</w:t>
      </w:r>
    </w:p>
    <w:p w:rsidR="00965BEF" w:rsidRDefault="00965BEF" w:rsidP="00965BEF">
      <w:pPr>
        <w:ind w:firstLine="709"/>
      </w:pPr>
      <w:r>
        <w:t>1)</w:t>
      </w:r>
      <w:r w:rsidRPr="00965BEF">
        <w:t xml:space="preserve"> </w:t>
      </w:r>
      <w:r w:rsidR="004A509F" w:rsidRPr="00965BEF">
        <w:t>древние золотоносные конгломераты</w:t>
      </w:r>
      <w:r>
        <w:t>;</w:t>
      </w:r>
    </w:p>
    <w:p w:rsidR="00965BEF" w:rsidRDefault="00965BEF" w:rsidP="00965BEF">
      <w:pPr>
        <w:ind w:firstLine="709"/>
      </w:pPr>
      <w:r>
        <w:t>2)</w:t>
      </w:r>
      <w:r w:rsidRPr="00965BEF">
        <w:t xml:space="preserve"> </w:t>
      </w:r>
      <w:r w:rsidR="004A509F" w:rsidRPr="00965BEF">
        <w:t>гидротермально-метасоматические месторождения, заключенные в вулкано-тектонических постройках, архейских зеленокаменных поясах, песчано-сланцевых углеродистых формациях и теригенно-карбонатных и карбонатных формациях</w:t>
      </w:r>
      <w:r>
        <w:t>;</w:t>
      </w:r>
    </w:p>
    <w:p w:rsidR="004A509F" w:rsidRDefault="00965BEF" w:rsidP="00965BEF">
      <w:pPr>
        <w:ind w:firstLine="709"/>
      </w:pPr>
      <w:r>
        <w:t>3)</w:t>
      </w:r>
      <w:r w:rsidRPr="00965BEF">
        <w:t xml:space="preserve"> </w:t>
      </w:r>
      <w:r w:rsidR="004A509F" w:rsidRPr="00965BEF">
        <w:t>золотоносные россыпи</w:t>
      </w:r>
      <w:r w:rsidRPr="00965BEF">
        <w:t xml:space="preserve">. </w:t>
      </w:r>
    </w:p>
    <w:p w:rsidR="00965BEF" w:rsidRDefault="00965BEF" w:rsidP="00965BEF">
      <w:pPr>
        <w:ind w:firstLine="709"/>
      </w:pPr>
      <w:r w:rsidRPr="00965BEF">
        <w:t>Второстепенные и комплексные типы месторождений золота связаны со скарнами, с сульфидной медно-никелевой и хромитовой платиноносными формациями, с золотоносными корами выветривания, с зонами окисления сульфидных руд.</w:t>
      </w:r>
    </w:p>
    <w:p w:rsidR="00965BEF" w:rsidRPr="00965BEF" w:rsidRDefault="00965BEF" w:rsidP="00965BEF">
      <w:pPr>
        <w:ind w:firstLine="709"/>
      </w:pPr>
    </w:p>
    <w:tbl>
      <w:tblPr>
        <w:tblW w:w="65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030"/>
      </w:tblGrid>
      <w:tr w:rsidR="004A509F" w:rsidRPr="00965BEF">
        <w:trPr>
          <w:jc w:val="center"/>
        </w:trPr>
        <w:tc>
          <w:tcPr>
            <w:tcW w:w="6558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Классификация коренных месторождений золота</w:t>
            </w:r>
          </w:p>
          <w:p w:rsidR="004A509F" w:rsidRPr="00965BEF" w:rsidRDefault="004A509F" w:rsidP="00965BEF">
            <w:pPr>
              <w:pStyle w:val="afb"/>
            </w:pPr>
            <w:r w:rsidRPr="00965BEF">
              <w:t>по запасам</w:t>
            </w:r>
            <w:r w:rsidR="00965BEF">
              <w:t xml:space="preserve"> (</w:t>
            </w:r>
            <w:r w:rsidRPr="00965BEF">
              <w:t>в тоннах</w:t>
            </w:r>
            <w:r w:rsidR="00965BEF" w:rsidRPr="00965BEF">
              <w:t xml:space="preserve">) 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Уникальные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более 1000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Весьма крупные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400-1000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Крупные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100-400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Средние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25-100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Мелкие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менее 25</w:t>
            </w:r>
          </w:p>
        </w:tc>
      </w:tr>
    </w:tbl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Преобладающая доля мировых общих запасов золота</w:t>
      </w:r>
      <w:r w:rsidR="00965BEF">
        <w:t xml:space="preserve"> (</w:t>
      </w:r>
      <w:r w:rsidRPr="00965BEF">
        <w:t>75,1%</w:t>
      </w:r>
      <w:r w:rsidR="00965BEF" w:rsidRPr="00965BEF">
        <w:t xml:space="preserve">) </w:t>
      </w:r>
      <w:r w:rsidRPr="00965BEF">
        <w:t xml:space="preserve">приходится на перечисленные выше геолого-промышленные типы месторождений, в том числе на главный из них, </w:t>
      </w:r>
      <w:r w:rsidR="00965BEF">
        <w:t>-</w:t>
      </w:r>
      <w:r w:rsidRPr="00965BEF">
        <w:t xml:space="preserve"> тип золотоносных конгломератов, приходится около 40 тыс</w:t>
      </w:r>
      <w:r w:rsidR="00965BEF" w:rsidRPr="00965BEF">
        <w:t xml:space="preserve">. </w:t>
      </w:r>
      <w:r w:rsidRPr="00965BEF">
        <w:t>тонн</w:t>
      </w:r>
      <w:r w:rsidR="00965BEF" w:rsidRPr="00965BEF">
        <w:t>.</w:t>
      </w:r>
    </w:p>
    <w:p w:rsidR="00A74BC7" w:rsidRDefault="00A74BC7" w:rsidP="00965BEF">
      <w:pPr>
        <w:ind w:firstLine="709"/>
      </w:pPr>
    </w:p>
    <w:p w:rsidR="00965BEF" w:rsidRDefault="004A509F" w:rsidP="00A74BC7">
      <w:pPr>
        <w:pStyle w:val="2"/>
      </w:pPr>
      <w:r w:rsidRPr="00965BEF">
        <w:t>Золото Украины</w:t>
      </w:r>
    </w:p>
    <w:p w:rsidR="00A74BC7" w:rsidRDefault="00A74BC7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Во времена СССР перспективы золотоносности территории Украины не представляли государственного интереса и должным образом не оценивались</w:t>
      </w:r>
      <w:r w:rsidR="00965BEF" w:rsidRPr="00965BEF">
        <w:t xml:space="preserve">. </w:t>
      </w:r>
      <w:r w:rsidRPr="00965BEF">
        <w:t>В стране были другие, успевшие стать традиционными, регионы золотодобычи, где работы с высокой степенью рентабельности велись десятилетиями и даже столетиями</w:t>
      </w:r>
      <w:r w:rsidR="00965BEF" w:rsidRPr="00965BEF">
        <w:t xml:space="preserve">. </w:t>
      </w:r>
      <w:r w:rsidRPr="00965BEF">
        <w:t>Это северо-восток России, Сибирь, Забайкалье, Урал, Узбекистан и некоторые другие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Схема расположения месторождений</w:t>
      </w:r>
      <w:r w:rsidR="00965BEF">
        <w:t xml:space="preserve"> (</w:t>
      </w:r>
      <w:r w:rsidRPr="00965BEF">
        <w:t>1</w:t>
      </w:r>
      <w:r w:rsidR="00965BEF" w:rsidRPr="00965BEF">
        <w:t xml:space="preserve">) </w:t>
      </w:r>
      <w:r w:rsidRPr="00965BEF">
        <w:t>и рудопроявлений</w:t>
      </w:r>
      <w:r w:rsidR="00965BEF">
        <w:t xml:space="preserve"> (</w:t>
      </w:r>
      <w:r w:rsidRPr="00965BEF">
        <w:t>2</w:t>
      </w:r>
      <w:r w:rsidR="00965BEF" w:rsidRPr="00965BEF">
        <w:t xml:space="preserve">) </w:t>
      </w:r>
      <w:r w:rsidRPr="00965BEF">
        <w:t>золота и проявлений платиноидов</w:t>
      </w:r>
      <w:r w:rsidR="00965BEF">
        <w:t xml:space="preserve"> (</w:t>
      </w:r>
      <w:r w:rsidRPr="00965BEF">
        <w:t>3</w:t>
      </w:r>
      <w:r w:rsidR="00965BEF" w:rsidRPr="00965BEF">
        <w:t xml:space="preserve">) </w:t>
      </w:r>
      <w:r w:rsidRPr="00965BEF">
        <w:t>на территории Украины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Несмотря на то, что заслуживающие внимания проявления золота в Закарпатье, Донецком бассейне и на Украинском щите были известны довольно давно, они считались недостаточно перспективными и средства на их изучение и оценку не выделялись</w:t>
      </w:r>
      <w:r w:rsidR="00965BEF" w:rsidRPr="00965BEF">
        <w:t xml:space="preserve">. </w:t>
      </w:r>
      <w:r w:rsidRPr="00965BEF">
        <w:t>Некоторым исключением был, пожалуй, Закарпатский регион, где с 70-х годов прошлого столетия были начаты работы по изучению Береговского рудного поля с Мужиевским золото-полиметаллическим месторождением и Раховского рудного района с месторождением Сауляк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Ситуация резко изменилась со времени приобретения Украиной независимости</w:t>
      </w:r>
      <w:r w:rsidR="00965BEF" w:rsidRPr="00965BEF">
        <w:t xml:space="preserve">. </w:t>
      </w:r>
      <w:r w:rsidRPr="00965BEF">
        <w:t>Молодое государство поставило геологам задачу и за короткий срок было установлено, что Украина располагает достаточно мощным золоторудным потенциалом</w:t>
      </w:r>
      <w:r w:rsidR="00965BEF" w:rsidRPr="00965BEF">
        <w:t xml:space="preserve">. </w:t>
      </w:r>
      <w:r w:rsidRPr="00965BEF">
        <w:t>По предварительным оценкам недра страны обладают прогнозными ресурсами в первые тысячи тонн золота и со временем способны занять одно из ведущих мест в Европе по его запасам и добыче</w:t>
      </w:r>
      <w:r w:rsidR="00965BEF" w:rsidRPr="00965BEF">
        <w:t>.</w:t>
      </w:r>
    </w:p>
    <w:p w:rsidR="00A74BC7" w:rsidRDefault="00A74BC7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Месторождения золота Украины</w:t>
      </w:r>
      <w:r w:rsidR="00965BEF" w:rsidRPr="00965BEF">
        <w:t>.</w:t>
      </w:r>
    </w:p>
    <w:tbl>
      <w:tblPr>
        <w:tblW w:w="83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2851"/>
      </w:tblGrid>
      <w:tr w:rsidR="004A509F" w:rsidRPr="00965BEF">
        <w:trPr>
          <w:jc w:val="center"/>
        </w:trPr>
        <w:tc>
          <w:tcPr>
            <w:tcW w:w="8379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965BEF" w:rsidRDefault="004A509F" w:rsidP="00965BEF">
            <w:pPr>
              <w:pStyle w:val="afb"/>
            </w:pPr>
            <w:r w:rsidRPr="00965BEF">
              <w:t>Содержание золота месторождений Украины</w:t>
            </w:r>
          </w:p>
          <w:p w:rsidR="004A509F" w:rsidRPr="00965BEF" w:rsidRDefault="00965BEF" w:rsidP="00965BEF">
            <w:pPr>
              <w:pStyle w:val="afb"/>
            </w:pPr>
            <w:r>
              <w:t>(</w:t>
            </w:r>
            <w:r w:rsidR="004A509F" w:rsidRPr="00965BEF">
              <w:t>в г/тонну</w:t>
            </w:r>
            <w:r w:rsidRPr="00965BEF">
              <w:t xml:space="preserve">) 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Мужиевское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4,5-15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Сауляк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5-10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Сергеевское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7-8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Балка Золотая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6,2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Балка Широкая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4-7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Бобриковское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2-9</w:t>
            </w:r>
          </w:p>
        </w:tc>
      </w:tr>
    </w:tbl>
    <w:p w:rsidR="00965BEF" w:rsidRDefault="00965BEF" w:rsidP="00965BEF">
      <w:pPr>
        <w:ind w:firstLine="709"/>
        <w:rPr>
          <w:i/>
          <w:iCs/>
        </w:rPr>
      </w:pPr>
    </w:p>
    <w:p w:rsidR="00965BEF" w:rsidRDefault="004A509F" w:rsidP="00965BEF">
      <w:pPr>
        <w:ind w:firstLine="709"/>
      </w:pPr>
      <w:r w:rsidRPr="00965BEF">
        <w:rPr>
          <w:i/>
          <w:iCs/>
        </w:rPr>
        <w:t>Закарпатская область</w:t>
      </w:r>
      <w:r w:rsidR="00965BEF" w:rsidRPr="00965BEF">
        <w:rPr>
          <w:i/>
          <w:iCs/>
        </w:rPr>
        <w:t xml:space="preserve">. </w:t>
      </w:r>
      <w:r w:rsidRPr="00965BEF">
        <w:t>В пределах Береговского рудного поля разведано и начата эксплуатация Мужиевского золото-полиметаллического месторождения</w:t>
      </w:r>
      <w:r w:rsidR="00965BEF" w:rsidRPr="00965BEF">
        <w:t xml:space="preserve">. </w:t>
      </w:r>
      <w:r w:rsidRPr="00965BEF">
        <w:t>Оно относится к вулканогенно-гидротермальному типу</w:t>
      </w:r>
      <w:r w:rsidR="00965BEF" w:rsidRPr="00965BEF">
        <w:t xml:space="preserve">. </w:t>
      </w:r>
      <w:r w:rsidRPr="00965BEF">
        <w:t>Рудные тела представлены крутопадающими кварцевыми жилами с примесью халцедона, каолинита, гидрослюд</w:t>
      </w:r>
      <w:r w:rsidR="00965BEF" w:rsidRPr="00965BEF">
        <w:t xml:space="preserve">. </w:t>
      </w:r>
      <w:r w:rsidRPr="00965BEF">
        <w:t>Содержание золота здесь варьирует в пределах 4,5-15 г/тонну, а запасы золота оцениваются в 25</w:t>
      </w:r>
      <w:r w:rsidR="00965BEF">
        <w:t>-</w:t>
      </w:r>
      <w:r w:rsidRPr="00965BEF">
        <w:t>30 тонн</w:t>
      </w:r>
      <w:r w:rsidR="00965BEF" w:rsidRPr="00965BEF">
        <w:t xml:space="preserve">. </w:t>
      </w:r>
      <w:r w:rsidRPr="00965BEF">
        <w:t>Месторождение подготовлено к эксплуатации еще в 1990 году и в настоящее время его руда добывается Мужиевским рудником ЗАО</w:t>
      </w:r>
      <w:r w:rsidR="00965BEF">
        <w:t xml:space="preserve"> "</w:t>
      </w:r>
      <w:r w:rsidRPr="00965BEF">
        <w:t>Полиметаллы Украины</w:t>
      </w:r>
      <w:r w:rsidR="00965BEF">
        <w:t xml:space="preserve">". </w:t>
      </w:r>
      <w:r w:rsidRPr="00965BEF">
        <w:t>В пределах Береговского рудного поля, кроме Мужиевского, известны еще Береговское и Куклянское золото-полиметаллические месторождения, имеющие сходное геологическое строение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В пределах Раховского рудного района, разведано и частично эксплуатируется золоторудное месторождение Сауляк</w:t>
      </w:r>
      <w:r w:rsidR="00965BEF" w:rsidRPr="00965BEF">
        <w:t xml:space="preserve">. </w:t>
      </w:r>
      <w:r w:rsidRPr="00965BEF">
        <w:t>Золотоносными здесь являются кварцевые и кварц-карбонатные жилы и прожилковые зоны</w:t>
      </w:r>
      <w:r w:rsidR="00965BEF" w:rsidRPr="00965BEF">
        <w:t xml:space="preserve">. </w:t>
      </w:r>
      <w:r w:rsidRPr="00965BEF">
        <w:t>Рудная минерализация представлена свободным высокопробным золотом, среднее содержание которого в рудных телах составляет 5</w:t>
      </w:r>
      <w:r w:rsidR="00965BEF">
        <w:t>-</w:t>
      </w:r>
      <w:r w:rsidRPr="00965BEF">
        <w:t xml:space="preserve">10 г/тонну, а серебра </w:t>
      </w:r>
      <w:r w:rsidR="00965BEF">
        <w:t>-</w:t>
      </w:r>
      <w:r w:rsidRPr="00965BEF">
        <w:t xml:space="preserve"> до 30 г/тонну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rPr>
          <w:i/>
          <w:iCs/>
        </w:rPr>
        <w:t>Луганская область</w:t>
      </w:r>
      <w:r w:rsidR="00965BEF" w:rsidRPr="00965BEF">
        <w:rPr>
          <w:i/>
          <w:iCs/>
        </w:rPr>
        <w:t xml:space="preserve">. </w:t>
      </w:r>
      <w:r w:rsidRPr="00965BEF">
        <w:t>В Бобриковском месторождении содержание золота в рудных телах крайне неравномерно</w:t>
      </w:r>
      <w:r w:rsidR="00965BEF" w:rsidRPr="00965BEF">
        <w:t xml:space="preserve">. </w:t>
      </w:r>
      <w:r w:rsidRPr="00965BEF">
        <w:t>Вкрапленные руды содержат мало золота, а более высокие концентрации его характерны для жил и прожилков</w:t>
      </w:r>
      <w:r w:rsidR="00965BEF" w:rsidRPr="00965BEF">
        <w:t xml:space="preserve">. </w:t>
      </w:r>
      <w:r w:rsidRPr="00965BEF">
        <w:t>В целом, содержание золота в рудах составляет 2-9 г/тонну</w:t>
      </w:r>
      <w:r w:rsidR="00965BEF">
        <w:t xml:space="preserve"> (</w:t>
      </w:r>
      <w:r w:rsidRPr="00965BEF">
        <w:t>в отдельных пробах 40-106 г/тонну</w:t>
      </w:r>
      <w:r w:rsidR="00965BEF" w:rsidRPr="00965BEF">
        <w:t>),</w:t>
      </w:r>
      <w:r w:rsidRPr="00965BEF">
        <w:t xml:space="preserve"> серебра до 320 г/тонну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rPr>
          <w:i/>
          <w:iCs/>
        </w:rPr>
        <w:t>Днепропетровская область</w:t>
      </w:r>
      <w:r w:rsidR="00965BEF" w:rsidRPr="00965BEF">
        <w:rPr>
          <w:i/>
          <w:iCs/>
        </w:rPr>
        <w:t xml:space="preserve">. </w:t>
      </w:r>
      <w:r w:rsidRPr="00965BEF">
        <w:t>Сурский золоторудный район, включающий месторождения Сергеевское и Балка Золотая, расположен в южной части одноименной архейской зеленокаменной структуры Украинского щита</w:t>
      </w:r>
      <w:r w:rsidR="00965BEF" w:rsidRPr="00965BEF">
        <w:t xml:space="preserve">. </w:t>
      </w:r>
      <w:r w:rsidRPr="00965BEF">
        <w:t>Возраст золотоносных пород оценивается в 3,0-3,2 млрд</w:t>
      </w:r>
      <w:r w:rsidR="00965BEF" w:rsidRPr="00965BEF">
        <w:t xml:space="preserve">. </w:t>
      </w:r>
      <w:r w:rsidRPr="00965BEF">
        <w:t>лет</w:t>
      </w:r>
      <w:r w:rsidR="00965BEF" w:rsidRPr="00965BEF">
        <w:t xml:space="preserve">. </w:t>
      </w:r>
      <w:r w:rsidRPr="00965BEF">
        <w:t>Среднее содержание золота в рудах по месторождению Сергеевскому составляет 7</w:t>
      </w:r>
      <w:r w:rsidR="00965BEF">
        <w:t>-</w:t>
      </w:r>
      <w:r w:rsidRPr="00965BEF">
        <w:t>8 г/тонну при отношении Au</w:t>
      </w:r>
      <w:r w:rsidR="00965BEF" w:rsidRPr="00965BEF">
        <w:t xml:space="preserve">: </w:t>
      </w:r>
      <w:r w:rsidRPr="00965BEF">
        <w:t>Ag=1</w:t>
      </w:r>
      <w:r w:rsidR="00965BEF" w:rsidRPr="00965BEF">
        <w:t xml:space="preserve">: </w:t>
      </w:r>
      <w:r w:rsidRPr="00965BEF">
        <w:t>2</w:t>
      </w:r>
      <w:r w:rsidR="00965BEF" w:rsidRPr="00965BEF">
        <w:t xml:space="preserve">. </w:t>
      </w:r>
      <w:r w:rsidRPr="00965BEF">
        <w:t>В месторождении Балка Золотая, расположенном в 4 км к северо-востоку, среднее содержание металла в рудах составляет 6,2 г/тонну</w:t>
      </w:r>
      <w:r w:rsidR="00965BEF" w:rsidRPr="00965BEF">
        <w:t xml:space="preserve">. </w:t>
      </w:r>
      <w:r w:rsidRPr="00965BEF">
        <w:t>По месторождению Балка Широкая Чертомлыкского рудного района среднее содержание золота в рудных залежах находится в пределах 4-7 г/тонну</w:t>
      </w:r>
      <w:r w:rsidR="00965BEF" w:rsidRPr="00965BEF">
        <w:t xml:space="preserve">. </w:t>
      </w:r>
      <w:r w:rsidRPr="00965BEF">
        <w:t>Месторождение рассматривается как аналог месторождения Маунт-Магнат</w:t>
      </w:r>
      <w:r w:rsidR="00965BEF">
        <w:t xml:space="preserve"> (</w:t>
      </w:r>
      <w:r w:rsidRPr="00965BEF">
        <w:t>Западная Австралия</w:t>
      </w:r>
      <w:r w:rsidR="00965BEF" w:rsidRPr="00965BEF">
        <w:t>),</w:t>
      </w:r>
      <w:r w:rsidRPr="00965BEF">
        <w:t xml:space="preserve"> где добыто более 40 тонн золота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rPr>
          <w:i/>
          <w:iCs/>
        </w:rPr>
        <w:t>Запорожская область</w:t>
      </w:r>
      <w:r w:rsidR="00965BEF" w:rsidRPr="00965BEF">
        <w:rPr>
          <w:i/>
          <w:iCs/>
        </w:rPr>
        <w:t xml:space="preserve">. </w:t>
      </w:r>
      <w:r w:rsidRPr="00965BEF">
        <w:t>Сурожское месторождение находится в Западном Приазовье в 30 км севернее г</w:t>
      </w:r>
      <w:r w:rsidR="00965BEF" w:rsidRPr="00965BEF">
        <w:t xml:space="preserve">. </w:t>
      </w:r>
      <w:r w:rsidRPr="00965BEF">
        <w:t>Бердянск</w:t>
      </w:r>
      <w:r w:rsidR="00965BEF" w:rsidRPr="00965BEF">
        <w:t xml:space="preserve">. </w:t>
      </w:r>
      <w:r w:rsidRPr="00965BEF">
        <w:t>Содержание золота здесь очень неравномерно и колеблется от 4 до 66 г/тонну</w:t>
      </w:r>
      <w:r w:rsidR="00965BEF" w:rsidRPr="00965BEF">
        <w:t xml:space="preserve">. </w:t>
      </w:r>
      <w:r w:rsidRPr="00965BEF">
        <w:t xml:space="preserve">Проба самородного золота высокая </w:t>
      </w:r>
      <w:r w:rsidR="00965BEF">
        <w:t>-</w:t>
      </w:r>
      <w:r w:rsidRPr="00965BEF">
        <w:t xml:space="preserve"> 926</w:t>
      </w:r>
      <w:r w:rsidR="00965BEF">
        <w:t>-</w:t>
      </w:r>
      <w:r w:rsidRPr="00965BEF">
        <w:t>983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rPr>
          <w:i/>
          <w:iCs/>
        </w:rPr>
        <w:t>Кировоградская область</w:t>
      </w:r>
      <w:r w:rsidR="00965BEF" w:rsidRPr="00965BEF">
        <w:rPr>
          <w:i/>
          <w:iCs/>
        </w:rPr>
        <w:t xml:space="preserve">. </w:t>
      </w:r>
      <w:r w:rsidRPr="00965BEF">
        <w:t>В Клинцовском месторождении золото имеет множество примесей</w:t>
      </w:r>
      <w:r w:rsidR="00965BEF" w:rsidRPr="00965BEF">
        <w:t xml:space="preserve">. </w:t>
      </w:r>
      <w:r w:rsidRPr="00965BEF">
        <w:t>С золото-висмутовой ассоциацией здесь связаны ураганные содержания золота, достигающие 200 г/тонну при содержании висмута 35 г/тонну</w:t>
      </w:r>
      <w:r w:rsidR="00965BEF" w:rsidRPr="00965BEF">
        <w:t xml:space="preserve">. </w:t>
      </w:r>
      <w:r w:rsidRPr="00965BEF">
        <w:t>Юрьевское месторождение</w:t>
      </w:r>
      <w:r w:rsidR="00A74BC7">
        <w:t xml:space="preserve"> </w:t>
      </w:r>
      <w:r w:rsidRPr="00965BEF">
        <w:t>расположено в 17 км к югу от г</w:t>
      </w:r>
      <w:r w:rsidR="00965BEF" w:rsidRPr="00965BEF">
        <w:t xml:space="preserve">. </w:t>
      </w:r>
      <w:r w:rsidRPr="00965BEF">
        <w:t>Кировоград</w:t>
      </w:r>
      <w:r w:rsidR="00965BEF" w:rsidRPr="00965BEF">
        <w:t xml:space="preserve">. </w:t>
      </w:r>
      <w:r w:rsidRPr="00965BEF">
        <w:t xml:space="preserve">Содержание золота в рудах месторождения неравномерное </w:t>
      </w:r>
      <w:r w:rsidR="00965BEF">
        <w:t>-</w:t>
      </w:r>
      <w:r w:rsidRPr="00965BEF">
        <w:t xml:space="preserve"> от десятых долей до 34,5 г/тонну, а в отдельных пробах </w:t>
      </w:r>
      <w:r w:rsidR="00965BEF">
        <w:t>-</w:t>
      </w:r>
      <w:r w:rsidRPr="00965BEF">
        <w:t xml:space="preserve"> до 153,8 г/тонну</w:t>
      </w:r>
      <w:r w:rsidR="00965BEF" w:rsidRPr="00965BEF">
        <w:t xml:space="preserve">. </w:t>
      </w:r>
      <w:r w:rsidRPr="00965BEF">
        <w:t>Майское золоторудное месторождение оценивалось и рассматривается как наиболее перспективный золотоносный объект Украинского щита</w:t>
      </w:r>
      <w:r w:rsidR="00965BEF" w:rsidRPr="00965BEF">
        <w:t xml:space="preserve">. </w:t>
      </w:r>
      <w:r w:rsidRPr="00965BEF">
        <w:t>При бортовом содержании золота 0,5 г/тонну в зонах выделяются рудные тела мощностью от 1 до 18 м, вмещающие драгоценного металла от 1 до 70 г/тонну</w:t>
      </w:r>
      <w:r w:rsidR="00965BEF" w:rsidRPr="00965BEF">
        <w:t>.</w:t>
      </w:r>
    </w:p>
    <w:p w:rsidR="00965BEF" w:rsidRDefault="00965BEF" w:rsidP="00965BEF">
      <w:pPr>
        <w:ind w:firstLine="709"/>
      </w:pPr>
    </w:p>
    <w:p w:rsidR="00965BEF" w:rsidRDefault="004A509F" w:rsidP="00965BEF">
      <w:pPr>
        <w:pStyle w:val="2"/>
      </w:pPr>
      <w:r w:rsidRPr="00965BEF">
        <w:t>Золотоносные россыпи Украины</w:t>
      </w:r>
    </w:p>
    <w:p w:rsidR="00965BEF" w:rsidRPr="00965BEF" w:rsidRDefault="00965BEF" w:rsidP="00965BEF">
      <w:pPr>
        <w:ind w:firstLine="709"/>
      </w:pPr>
    </w:p>
    <w:p w:rsidR="004A509F" w:rsidRDefault="004A509F" w:rsidP="00965BEF">
      <w:pPr>
        <w:ind w:firstLine="709"/>
      </w:pPr>
      <w:r w:rsidRPr="00965BEF">
        <w:t>Россыпи представляют один из важнейших геолого-промышленных типов месторождений золота</w:t>
      </w:r>
      <w:r w:rsidR="00965BEF" w:rsidRPr="00965BEF">
        <w:t xml:space="preserve">. </w:t>
      </w:r>
      <w:r w:rsidRPr="00965BEF">
        <w:t>На их долю приходится немногим более 4% запасов, но более 10% мировой добычи золота</w:t>
      </w:r>
      <w:r w:rsidR="00965BEF" w:rsidRPr="00965BEF">
        <w:t xml:space="preserve">. </w:t>
      </w:r>
      <w:r w:rsidRPr="00965BEF">
        <w:t>Содержание золота изменяется в широких пределах и в сочетании с горно-техническими условиями определяет способ отработки</w:t>
      </w:r>
      <w:r w:rsidR="00965BEF" w:rsidRPr="00965BEF">
        <w:t xml:space="preserve">. </w:t>
      </w:r>
      <w:r w:rsidRPr="00965BEF">
        <w:t>При добыче золота драгой промышленное содержание колеблется в пределах 0,15-0,25 г/м</w:t>
      </w:r>
      <w:r w:rsidRPr="00965BEF">
        <w:rPr>
          <w:vertAlign w:val="superscript"/>
        </w:rPr>
        <w:t>3</w:t>
      </w:r>
      <w:r w:rsidRPr="00965BEF">
        <w:t>, при гидравлической добыче 0,2-0,3 г/м</w:t>
      </w:r>
      <w:r w:rsidRPr="00965BEF">
        <w:rPr>
          <w:vertAlign w:val="superscript"/>
        </w:rPr>
        <w:t>3</w:t>
      </w:r>
      <w:r w:rsidRPr="00965BEF">
        <w:t xml:space="preserve"> и выше, при открытой раздельной отработке </w:t>
      </w:r>
      <w:r w:rsidR="00965BEF">
        <w:t>-</w:t>
      </w:r>
      <w:r w:rsidRPr="00965BEF">
        <w:t xml:space="preserve"> 0,5-1,0 и выше, а при подземной </w:t>
      </w:r>
      <w:r w:rsidR="00965BEF">
        <w:t>-</w:t>
      </w:r>
      <w:r w:rsidRPr="00965BEF">
        <w:t xml:space="preserve"> 2-6 г/м</w:t>
      </w:r>
      <w:r w:rsidRPr="00965BEF">
        <w:rPr>
          <w:vertAlign w:val="superscript"/>
        </w:rPr>
        <w:t>3</w:t>
      </w:r>
      <w:r w:rsidRPr="00965BEF">
        <w:t xml:space="preserve"> и выше</w:t>
      </w:r>
      <w:r w:rsidR="00965BEF" w:rsidRPr="00965BEF">
        <w:t xml:space="preserve">. </w:t>
      </w:r>
      <w:r w:rsidRPr="00965BEF">
        <w:t>В Украине известны преимущественно средние</w:t>
      </w:r>
      <w:r w:rsidR="00965BEF">
        <w:t xml:space="preserve"> (</w:t>
      </w:r>
      <w:r w:rsidRPr="00965BEF">
        <w:t>0,5-1 тонн</w:t>
      </w:r>
      <w:r w:rsidR="00965BEF" w:rsidRPr="00965BEF">
        <w:t xml:space="preserve">) </w:t>
      </w:r>
      <w:r w:rsidRPr="00965BEF">
        <w:t>и мелкие</w:t>
      </w:r>
      <w:r w:rsidR="00965BEF">
        <w:t xml:space="preserve"> (</w:t>
      </w:r>
      <w:r w:rsidRPr="00965BEF">
        <w:t>менее 0,5 тонны</w:t>
      </w:r>
      <w:r w:rsidR="00965BEF" w:rsidRPr="00965BEF">
        <w:t xml:space="preserve">) </w:t>
      </w:r>
      <w:r w:rsidRPr="00965BEF">
        <w:t>по запасам месторождения, хотя имеются перспективы выявления крупных</w:t>
      </w:r>
      <w:r w:rsidR="00965BEF">
        <w:t xml:space="preserve"> (</w:t>
      </w:r>
      <w:r w:rsidRPr="00965BEF">
        <w:t>1-5 тонн</w:t>
      </w:r>
      <w:r w:rsidR="00965BEF" w:rsidRPr="00965BEF">
        <w:t xml:space="preserve">) </w:t>
      </w:r>
      <w:r w:rsidRPr="00965BEF">
        <w:t>месторождений преимущественно в Карпатах, Донбассе и прибрежных зонах Черного и Азовского морей</w:t>
      </w:r>
      <w:r w:rsidR="00965BEF" w:rsidRPr="00965BEF">
        <w:t xml:space="preserve">. </w:t>
      </w:r>
    </w:p>
    <w:p w:rsidR="00965BEF" w:rsidRPr="00965BEF" w:rsidRDefault="00965BEF" w:rsidP="00965BEF">
      <w:pPr>
        <w:ind w:firstLine="709"/>
      </w:pPr>
    </w:p>
    <w:tbl>
      <w:tblPr>
        <w:tblW w:w="82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2695"/>
      </w:tblGrid>
      <w:tr w:rsidR="004A509F" w:rsidRPr="00965BEF">
        <w:trPr>
          <w:jc w:val="center"/>
        </w:trPr>
        <w:tc>
          <w:tcPr>
            <w:tcW w:w="8223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Классификация россыпных месторождений золота</w:t>
            </w:r>
            <w:r w:rsidR="00965BEF">
              <w:t xml:space="preserve"> </w:t>
            </w:r>
            <w:r w:rsidRPr="00965BEF">
              <w:t>по запасам</w:t>
            </w:r>
            <w:r w:rsidR="00965BEF">
              <w:t xml:space="preserve"> (</w:t>
            </w:r>
            <w:r w:rsidRPr="00965BEF">
              <w:t>в тоннах</w:t>
            </w:r>
            <w:r w:rsidR="00965BEF" w:rsidRPr="00965BEF">
              <w:t xml:space="preserve">) 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Уникальные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более 50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Весьма крупные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5-50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Крупные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1-5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Средние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0,5-1</w:t>
            </w:r>
          </w:p>
        </w:tc>
      </w:tr>
      <w:tr w:rsidR="004A509F" w:rsidRPr="00965BEF">
        <w:trPr>
          <w:jc w:val="center"/>
        </w:trPr>
        <w:tc>
          <w:tcPr>
            <w:tcW w:w="5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Мелкие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менее 0,5</w:t>
            </w:r>
          </w:p>
        </w:tc>
      </w:tr>
    </w:tbl>
    <w:p w:rsidR="00965BEF" w:rsidRDefault="00965BEF" w:rsidP="00965BEF">
      <w:pPr>
        <w:ind w:firstLine="709"/>
      </w:pPr>
    </w:p>
    <w:p w:rsidR="00965BEF" w:rsidRDefault="00965BEF" w:rsidP="00965BEF">
      <w:pPr>
        <w:ind w:firstLine="709"/>
      </w:pPr>
      <w:r w:rsidRPr="00965BEF">
        <w:t>Россыпные концентрации золота отмечаются в отложениях рифея-венда Среднего Приднестровья и в современном аллювии реки Днестр, в базальных конгломератах триаса Добруджи, в палеодолинах, заполненных терригенными отложениями нижнего мела и среднего эоцена на Украинском щите.</w:t>
      </w:r>
    </w:p>
    <w:p w:rsidR="00965BEF" w:rsidRDefault="004A509F" w:rsidP="00965BEF">
      <w:pPr>
        <w:ind w:firstLine="709"/>
      </w:pPr>
      <w:r w:rsidRPr="00965BEF">
        <w:t>Самородное золото установлено в аллювии рек Ирша, Тетерев, Рось, Синюха, Саксагань, Ингулец, Днепр и других на Украинском щите</w:t>
      </w:r>
      <w:r w:rsidR="00965BEF" w:rsidRPr="00965BEF">
        <w:t xml:space="preserve">. </w:t>
      </w:r>
      <w:r w:rsidRPr="00965BEF">
        <w:t>В Донбассе золотоносность аллювия выявлена в долинах рек Нагольная, Крынка, Миус, Крепенькая и делювиальных отложениях некоторых балок</w:t>
      </w:r>
      <w:r w:rsidR="00965BEF" w:rsidRPr="00965BEF">
        <w:t xml:space="preserve">. </w:t>
      </w:r>
      <w:r w:rsidRPr="00965BEF">
        <w:t>Наиболее перспективным в промышленном отношении является россыпное золото в современных отложениях, перекрывающих породы карбона на золотоносном месторождении Бобриково</w:t>
      </w:r>
      <w:r w:rsidR="00965BEF" w:rsidRPr="00965BEF">
        <w:t xml:space="preserve">. </w:t>
      </w:r>
      <w:r w:rsidRPr="00965BEF">
        <w:t>В Северном Причерноморье проявления золота приурочены к прибрежно-морским и лиманным отложениям четвертичного возраста</w:t>
      </w:r>
      <w:r w:rsidR="00965BEF">
        <w:t xml:space="preserve"> (</w:t>
      </w:r>
      <w:r w:rsidRPr="00965BEF">
        <w:t xml:space="preserve">Коктебельская бухта, район Днестровского лимана и </w:t>
      </w:r>
      <w:r w:rsidR="00965BEF">
        <w:t>др.)</w:t>
      </w:r>
      <w:r w:rsidR="00965BEF" w:rsidRPr="00965BEF">
        <w:t xml:space="preserve">. </w:t>
      </w:r>
      <w:r w:rsidRPr="00965BEF">
        <w:t>Россыпное золото обнаружено также в песчаных отложениях крымских рек Бельбек, Кача, Салгир и в пляжных галечниках Судакского залива</w:t>
      </w:r>
      <w:r w:rsidR="00965BEF" w:rsidRPr="00965BEF">
        <w:t>.</w:t>
      </w:r>
    </w:p>
    <w:p w:rsidR="004A509F" w:rsidRDefault="004A509F" w:rsidP="00965BEF">
      <w:pPr>
        <w:ind w:firstLine="709"/>
      </w:pPr>
      <w:r w:rsidRPr="00965BEF">
        <w:t>Серебро</w:t>
      </w:r>
      <w:r w:rsidR="00965BEF" w:rsidRPr="00965BEF">
        <w:t>.</w:t>
      </w:r>
      <w:r w:rsidR="00965BEF">
        <w:t xml:space="preserve"> </w:t>
      </w:r>
      <w:r w:rsidRPr="00965BEF">
        <w:t>Мировые ресурсы серебра оцениваются в 1300-1400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. </w:t>
      </w:r>
      <w:r w:rsidRPr="00965BEF">
        <w:t>Общие запасы серебра в мире на начало 1999 г</w:t>
      </w:r>
      <w:r w:rsidR="00965BEF" w:rsidRPr="00965BEF">
        <w:t xml:space="preserve">. </w:t>
      </w:r>
      <w:r w:rsidRPr="00965BEF">
        <w:t>составляли 876,8 тыс</w:t>
      </w:r>
      <w:r w:rsidR="00965BEF" w:rsidRPr="00965BEF">
        <w:t xml:space="preserve">. </w:t>
      </w:r>
      <w:r w:rsidRPr="00965BEF">
        <w:t>тонн, подтвержденные 581,1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. </w:t>
      </w:r>
      <w:r w:rsidRPr="00965BEF">
        <w:t>Горным бюро и Геологической службой США база запасов серебра оценивается в 420 тыс</w:t>
      </w:r>
      <w:r w:rsidR="00965BEF" w:rsidRPr="00965BEF">
        <w:t xml:space="preserve">. </w:t>
      </w:r>
      <w:r w:rsidRPr="00965BEF">
        <w:t xml:space="preserve">тонн, а запасы </w:t>
      </w:r>
      <w:r w:rsidR="00965BEF">
        <w:t>-</w:t>
      </w:r>
      <w:r w:rsidRPr="00965BEF">
        <w:t xml:space="preserve"> 280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. </w:t>
      </w:r>
    </w:p>
    <w:p w:rsidR="00965BEF" w:rsidRPr="00965BEF" w:rsidRDefault="00965BEF" w:rsidP="00965BEF">
      <w:pPr>
        <w:ind w:firstLine="709"/>
      </w:pPr>
    </w:p>
    <w:tbl>
      <w:tblPr>
        <w:tblW w:w="91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409"/>
      </w:tblGrid>
      <w:tr w:rsidR="004A509F" w:rsidRPr="00965BEF">
        <w:trPr>
          <w:trHeight w:val="284"/>
          <w:jc w:val="center"/>
        </w:trPr>
        <w:tc>
          <w:tcPr>
            <w:tcW w:w="2625" w:type="dxa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Распределение мировых запасов серебра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Страна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Тыс</w:t>
            </w:r>
            <w:r w:rsidR="00965BEF" w:rsidRPr="00965BEF">
              <w:t xml:space="preserve">. </w:t>
            </w:r>
            <w:r w:rsidRPr="00965BEF">
              <w:t>тонн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Чили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66,0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США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53,1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Канада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41,7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Мексика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43,2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Австралия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24,7</w:t>
            </w:r>
          </w:p>
        </w:tc>
      </w:tr>
      <w:tr w:rsidR="004A509F" w:rsidRPr="00965BEF">
        <w:trPr>
          <w:trHeight w:val="284"/>
          <w:jc w:val="center"/>
        </w:trPr>
        <w:tc>
          <w:tcPr>
            <w:tcW w:w="13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Перу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A509F" w:rsidRPr="00965BEF" w:rsidRDefault="004A509F" w:rsidP="00965BEF">
            <w:pPr>
              <w:pStyle w:val="afb"/>
            </w:pPr>
            <w:r w:rsidRPr="00965BEF">
              <w:t>24,5</w:t>
            </w:r>
          </w:p>
        </w:tc>
      </w:tr>
    </w:tbl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Геохимической особенностью серебра является его тесная ассоциация с цинком, свинцом, медью и некоторыми другими элементами</w:t>
      </w:r>
      <w:r w:rsidR="00965BEF" w:rsidRPr="00965BEF">
        <w:t xml:space="preserve">. </w:t>
      </w:r>
      <w:r w:rsidRPr="00965BEF">
        <w:t>Большая часть запасов</w:t>
      </w:r>
      <w:r w:rsidR="00965BEF">
        <w:t xml:space="preserve"> (</w:t>
      </w:r>
      <w:r w:rsidRPr="00965BEF">
        <w:t>70%</w:t>
      </w:r>
      <w:r w:rsidR="00965BEF" w:rsidRPr="00965BEF">
        <w:t xml:space="preserve">) </w:t>
      </w:r>
      <w:r w:rsidRPr="00965BEF">
        <w:t>и основная добыча</w:t>
      </w:r>
      <w:r w:rsidR="00965BEF">
        <w:t xml:space="preserve"> (</w:t>
      </w:r>
      <w:r w:rsidRPr="00965BEF">
        <w:t>около 80%</w:t>
      </w:r>
      <w:r w:rsidR="00965BEF" w:rsidRPr="00965BEF">
        <w:t xml:space="preserve">) </w:t>
      </w:r>
      <w:r w:rsidRPr="00965BEF">
        <w:t>приходится на комплексные серебросодержащие месторождения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Ведущими производителями серебра в концентратах являются Чили, Мексика, Перу, США, Канада и Австралия, суммарно добывающие в год около 9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. </w:t>
      </w:r>
      <w:r w:rsidRPr="00965BEF">
        <w:t>Производство серебра в концентратах в мире достаточно устойчиво растет на 5-7% в год</w:t>
      </w:r>
      <w:r w:rsidR="00965BEF" w:rsidRPr="00965BEF">
        <w:t xml:space="preserve">. </w:t>
      </w:r>
      <w:r w:rsidRPr="00965BEF">
        <w:t>Во многом уровень его производства зависит от конъюнктуры меди, свинца, цинка, из руд которых оно попутно извлекается</w:t>
      </w:r>
      <w:r w:rsidR="00965BEF" w:rsidRPr="00965BEF">
        <w:t xml:space="preserve">. </w:t>
      </w:r>
      <w:r w:rsidRPr="00965BEF">
        <w:t>В 2000 году добыча серебра из собственно серебряных месторождений составила 26%, а в предшествующие годы этот показатель был значительно ниже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 xml:space="preserve">Наиболее крупными потребителями серебра являются три страны </w:t>
      </w:r>
      <w:r w:rsidR="00965BEF">
        <w:t>-</w:t>
      </w:r>
      <w:r w:rsidRPr="00965BEF">
        <w:t xml:space="preserve"> США</w:t>
      </w:r>
      <w:r w:rsidR="00965BEF">
        <w:t xml:space="preserve"> (</w:t>
      </w:r>
      <w:r w:rsidRPr="00965BEF">
        <w:t>19-20%</w:t>
      </w:r>
      <w:r w:rsidR="00965BEF" w:rsidRPr="00965BEF">
        <w:t>),</w:t>
      </w:r>
      <w:r w:rsidRPr="00965BEF">
        <w:t xml:space="preserve"> Япония</w:t>
      </w:r>
      <w:r w:rsidR="00965BEF">
        <w:t xml:space="preserve"> (</w:t>
      </w:r>
      <w:r w:rsidRPr="00965BEF">
        <w:t>13-16%</w:t>
      </w:r>
      <w:r w:rsidR="00965BEF" w:rsidRPr="00965BEF">
        <w:t xml:space="preserve">) </w:t>
      </w:r>
      <w:r w:rsidRPr="00965BEF">
        <w:t>и Индия</w:t>
      </w:r>
      <w:r w:rsidR="00965BEF">
        <w:t xml:space="preserve"> (</w:t>
      </w:r>
      <w:r w:rsidRPr="00965BEF">
        <w:t>около 13%</w:t>
      </w:r>
      <w:r w:rsidR="00965BEF" w:rsidRPr="00965BEF">
        <w:t xml:space="preserve">). </w:t>
      </w:r>
      <w:r w:rsidRPr="00965BEF">
        <w:t>В начале XXI века мировой объем потребления составил 23 440 тонн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В Украине около десятка полиметаллических месторождений, в которых серебро добывается как сопутствующий металл</w:t>
      </w:r>
      <w:r w:rsidR="00965BEF" w:rsidRPr="00965BEF">
        <w:t xml:space="preserve">. </w:t>
      </w:r>
      <w:r w:rsidRPr="00965BEF">
        <w:t xml:space="preserve">К собственно серебряным месторождениям в Украине относятся только два </w:t>
      </w:r>
      <w:r w:rsidR="00965BEF">
        <w:t>-</w:t>
      </w:r>
      <w:r w:rsidRPr="00965BEF">
        <w:t xml:space="preserve"> Квасовское</w:t>
      </w:r>
      <w:r w:rsidR="00965BEF">
        <w:t xml:space="preserve"> (</w:t>
      </w:r>
      <w:r w:rsidRPr="00965BEF">
        <w:t>содержание серебра здесь составляет 20-400 г/тонну</w:t>
      </w:r>
      <w:r w:rsidR="00965BEF" w:rsidRPr="00965BEF">
        <w:t xml:space="preserve">) </w:t>
      </w:r>
      <w:r w:rsidRPr="00965BEF">
        <w:t>в Закарпатье и Журавское</w:t>
      </w:r>
      <w:r w:rsidR="00965BEF">
        <w:t xml:space="preserve"> (</w:t>
      </w:r>
      <w:r w:rsidRPr="00965BEF">
        <w:t>с содержанием металла от 35 до 1800 г/тонну</w:t>
      </w:r>
      <w:r w:rsidR="00965BEF" w:rsidRPr="00965BEF">
        <w:t xml:space="preserve">) </w:t>
      </w:r>
      <w:r w:rsidRPr="00965BEF">
        <w:t>в Донбассе</w:t>
      </w:r>
      <w:r w:rsidR="00965BEF" w:rsidRPr="00965BEF">
        <w:t>.</w:t>
      </w:r>
    </w:p>
    <w:p w:rsidR="00965BEF" w:rsidRDefault="00965BEF" w:rsidP="00965BEF">
      <w:pPr>
        <w:ind w:firstLine="709"/>
      </w:pPr>
    </w:p>
    <w:p w:rsidR="004A509F" w:rsidRDefault="004A509F" w:rsidP="00965BEF">
      <w:pPr>
        <w:pStyle w:val="2"/>
      </w:pPr>
      <w:r w:rsidRPr="00965BEF">
        <w:t>Металлы платиновой группы</w:t>
      </w:r>
    </w:p>
    <w:p w:rsidR="00965BEF" w:rsidRPr="00965BEF" w:rsidRDefault="00965BEF" w:rsidP="00965BEF">
      <w:pPr>
        <w:ind w:firstLine="709"/>
      </w:pP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5"/>
        <w:gridCol w:w="3417"/>
      </w:tblGrid>
      <w:tr w:rsidR="004A509F" w:rsidRPr="00965BEF">
        <w:trPr>
          <w:jc w:val="center"/>
        </w:trPr>
        <w:tc>
          <w:tcPr>
            <w:tcW w:w="3345" w:type="dxa"/>
            <w:gridSpan w:val="2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Распределение мировых запасов металлов платиновой группы</w:t>
            </w:r>
          </w:p>
        </w:tc>
      </w:tr>
      <w:tr w:rsidR="004A509F" w:rsidRPr="00965BEF">
        <w:trPr>
          <w:jc w:val="center"/>
        </w:trPr>
        <w:tc>
          <w:tcPr>
            <w:tcW w:w="2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Страна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Тыс</w:t>
            </w:r>
            <w:r w:rsidR="00965BEF" w:rsidRPr="00965BEF">
              <w:t xml:space="preserve">. </w:t>
            </w:r>
            <w:r w:rsidRPr="00965BEF">
              <w:t>тонн</w:t>
            </w:r>
          </w:p>
        </w:tc>
      </w:tr>
      <w:tr w:rsidR="004A509F" w:rsidRPr="00965BEF">
        <w:trPr>
          <w:jc w:val="center"/>
        </w:trPr>
        <w:tc>
          <w:tcPr>
            <w:tcW w:w="2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ЮАР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63,0</w:t>
            </w:r>
          </w:p>
        </w:tc>
      </w:tr>
      <w:tr w:rsidR="004A509F" w:rsidRPr="00965BEF">
        <w:trPr>
          <w:jc w:val="center"/>
        </w:trPr>
        <w:tc>
          <w:tcPr>
            <w:tcW w:w="2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Россия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6,2</w:t>
            </w:r>
          </w:p>
        </w:tc>
      </w:tr>
      <w:tr w:rsidR="004A509F" w:rsidRPr="00965BEF">
        <w:trPr>
          <w:jc w:val="center"/>
        </w:trPr>
        <w:tc>
          <w:tcPr>
            <w:tcW w:w="2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США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1,7</w:t>
            </w:r>
          </w:p>
        </w:tc>
      </w:tr>
      <w:tr w:rsidR="004A509F" w:rsidRPr="00965BEF">
        <w:trPr>
          <w:jc w:val="center"/>
        </w:trPr>
        <w:tc>
          <w:tcPr>
            <w:tcW w:w="2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Канада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0,3</w:t>
            </w:r>
          </w:p>
        </w:tc>
      </w:tr>
      <w:tr w:rsidR="004A509F" w:rsidRPr="00965BEF">
        <w:trPr>
          <w:jc w:val="center"/>
        </w:trPr>
        <w:tc>
          <w:tcPr>
            <w:tcW w:w="20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Зимбабве, Финляндия, Китай и др</w:t>
            </w:r>
            <w:r w:rsidR="00965BEF" w:rsidRPr="00965BEF">
              <w:t xml:space="preserve">. 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A509F" w:rsidRPr="00965BEF" w:rsidRDefault="004A509F" w:rsidP="00965BEF">
            <w:pPr>
              <w:pStyle w:val="afb"/>
            </w:pPr>
            <w:r w:rsidRPr="00965BEF">
              <w:t>0,8</w:t>
            </w:r>
          </w:p>
        </w:tc>
      </w:tr>
    </w:tbl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Почти 90% мировых подтвержденных запасов металлов платиновой группы</w:t>
      </w:r>
      <w:r w:rsidR="00965BEF">
        <w:t xml:space="preserve"> (</w:t>
      </w:r>
      <w:r w:rsidRPr="00965BEF">
        <w:t>МПГ</w:t>
      </w:r>
      <w:r w:rsidR="00965BEF" w:rsidRPr="00965BEF">
        <w:t xml:space="preserve">: </w:t>
      </w:r>
      <w:r w:rsidRPr="00965BEF">
        <w:t>платина, палладий, иридий, родий, осмий, рутений</w:t>
      </w:r>
      <w:r w:rsidR="00965BEF" w:rsidRPr="00965BEF">
        <w:t xml:space="preserve">) </w:t>
      </w:r>
      <w:r w:rsidRPr="00965BEF">
        <w:t>заключено в собственно платиноидных пластовых месторождениях позднемагматического генезиса</w:t>
      </w:r>
      <w:r w:rsidR="00965BEF" w:rsidRPr="00965BEF">
        <w:t xml:space="preserve">. </w:t>
      </w:r>
      <w:r w:rsidRPr="00965BEF">
        <w:t>Мировые ресурсы платиноидов в недрах более 30 стран оцениваются в 120-140 тыс</w:t>
      </w:r>
      <w:r w:rsidR="00965BEF" w:rsidRPr="00965BEF">
        <w:t xml:space="preserve">. </w:t>
      </w:r>
      <w:r w:rsidRPr="00965BEF">
        <w:t>тонн и большая их часть</w:t>
      </w:r>
      <w:r w:rsidR="00965BEF">
        <w:t xml:space="preserve"> (</w:t>
      </w:r>
      <w:r w:rsidRPr="00965BEF">
        <w:t>75-85 тыс</w:t>
      </w:r>
      <w:r w:rsidR="00965BEF" w:rsidRPr="00965BEF">
        <w:t xml:space="preserve">. </w:t>
      </w:r>
      <w:r w:rsidRPr="00965BEF">
        <w:t>тонн</w:t>
      </w:r>
      <w:r w:rsidR="00965BEF" w:rsidRPr="00965BEF">
        <w:t xml:space="preserve">) </w:t>
      </w:r>
      <w:r w:rsidRPr="00965BEF">
        <w:t>находится в Бушвельдском массиве ЮАР</w:t>
      </w:r>
      <w:r w:rsidR="00965BEF" w:rsidRPr="00965BEF">
        <w:t xml:space="preserve">. </w:t>
      </w:r>
      <w:r w:rsidRPr="00965BEF">
        <w:t xml:space="preserve">Объем мирового производства МПГ составляет примерно 370 т, из которых платины </w:t>
      </w:r>
      <w:r w:rsidR="00965BEF">
        <w:t>-</w:t>
      </w:r>
      <w:r w:rsidRPr="00965BEF">
        <w:t xml:space="preserve"> 160 т, палладия </w:t>
      </w:r>
      <w:r w:rsidR="00965BEF">
        <w:t>-</w:t>
      </w:r>
      <w:r w:rsidRPr="00965BEF">
        <w:t xml:space="preserve"> 180 т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 xml:space="preserve">Изучение платиноидоносности геологических комплексов Украины имеет всего полувековую историю </w:t>
      </w:r>
      <w:r w:rsidR="00965BEF">
        <w:t>-</w:t>
      </w:r>
      <w:r w:rsidRPr="00965BEF">
        <w:t xml:space="preserve"> начиная с выявления в 1951 году содержания платины</w:t>
      </w:r>
      <w:r w:rsidR="00965BEF">
        <w:t xml:space="preserve"> (</w:t>
      </w:r>
      <w:r w:rsidRPr="00965BEF">
        <w:t>0,1-0,2 г/тонну</w:t>
      </w:r>
      <w:r w:rsidR="00965BEF" w:rsidRPr="00965BEF">
        <w:t xml:space="preserve">) </w:t>
      </w:r>
      <w:r w:rsidRPr="00965BEF">
        <w:t>в гипербазитах реки Обиточной</w:t>
      </w:r>
      <w:r w:rsidR="00965BEF">
        <w:t xml:space="preserve"> (</w:t>
      </w:r>
      <w:r w:rsidRPr="00965BEF">
        <w:t>Западное Приазовье</w:t>
      </w:r>
      <w:r w:rsidR="00965BEF" w:rsidRPr="00965BEF">
        <w:t xml:space="preserve">). </w:t>
      </w:r>
      <w:r w:rsidRPr="00965BEF">
        <w:t>Спустя несколько лет присутствие платины и палладия было обнаружено в породах ряда других районов Украинского щита и в россыпях Днепровско-Донецкой впадины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К числу перспективных геологических объектов на обнаружение платинового</w:t>
      </w:r>
      <w:r w:rsidR="00965BEF">
        <w:t xml:space="preserve"> (</w:t>
      </w:r>
      <w:r w:rsidRPr="00965BEF">
        <w:t>и МПГ</w:t>
      </w:r>
      <w:r w:rsidR="00965BEF" w:rsidRPr="00965BEF">
        <w:t xml:space="preserve">) </w:t>
      </w:r>
      <w:r w:rsidRPr="00965BEF">
        <w:t>оруденения в Украине относятся различные по составу породы Украинского щита, Карпат, Волыни, Криворожского и Донецкого бассейнов, Средних Приднепровья и Побужья</w:t>
      </w:r>
    </w:p>
    <w:p w:rsidR="00965BEF" w:rsidRDefault="004A509F" w:rsidP="00965BEF">
      <w:pPr>
        <w:ind w:firstLine="709"/>
      </w:pPr>
      <w:r w:rsidRPr="00965BEF">
        <w:t>По оценкам Государственного геологоразведочного института</w:t>
      </w:r>
      <w:r w:rsidR="00965BEF">
        <w:t xml:space="preserve"> (</w:t>
      </w:r>
      <w:r w:rsidRPr="00965BEF">
        <w:t>УкрГГРИ</w:t>
      </w:r>
      <w:r w:rsidR="00965BEF" w:rsidRPr="00965BEF">
        <w:t>),</w:t>
      </w:r>
      <w:r w:rsidRPr="00965BEF">
        <w:t xml:space="preserve"> из разведанных в Украине запасов золота можно добыть более 100 тонн драгоценного металла</w:t>
      </w:r>
      <w:r w:rsidR="00965BEF" w:rsidRPr="00965BEF">
        <w:t xml:space="preserve">. </w:t>
      </w:r>
      <w:r w:rsidRPr="00965BEF">
        <w:t>В начале июля цена килограмма золота превышала $30 тыс</w:t>
      </w:r>
      <w:r w:rsidR="00965BEF" w:rsidRPr="00965BEF">
        <w:t>. -</w:t>
      </w:r>
      <w:r w:rsidR="00965BEF">
        <w:t xml:space="preserve"> </w:t>
      </w:r>
      <w:r w:rsidRPr="00965BEF">
        <w:t>$962 за тройскую унцию</w:t>
      </w:r>
      <w:r w:rsidR="00965BEF">
        <w:t xml:space="preserve"> (</w:t>
      </w:r>
      <w:r w:rsidRPr="00965BEF">
        <w:t>31,1 г</w:t>
      </w:r>
      <w:r w:rsidR="00965BEF" w:rsidRPr="00965BEF">
        <w:t xml:space="preserve">) </w:t>
      </w:r>
      <w:r w:rsidRPr="00965BEF">
        <w:t>по курсу НБУ на 21 июля</w:t>
      </w:r>
      <w:r w:rsidR="00965BEF" w:rsidRPr="00965BEF">
        <w:t xml:space="preserve">. </w:t>
      </w:r>
      <w:r w:rsidRPr="00965BEF">
        <w:t>То есть всего из украинских недр можно добыть золота на $3 млрд</w:t>
      </w:r>
      <w:r w:rsidR="00965BEF">
        <w:t xml:space="preserve"> (</w:t>
      </w:r>
      <w:r w:rsidRPr="00965BEF">
        <w:t>в текущих ценах</w:t>
      </w:r>
      <w:r w:rsidR="00965BEF" w:rsidRPr="00965BEF">
        <w:t xml:space="preserve">). </w:t>
      </w:r>
      <w:r w:rsidRPr="00965BEF">
        <w:t>При этом ученые не исключают, что 100 тонн</w:t>
      </w:r>
      <w:r w:rsidR="00965BEF" w:rsidRPr="00965BEF">
        <w:t xml:space="preserve"> - </w:t>
      </w:r>
      <w:r w:rsidRPr="00965BEF">
        <w:t>это далеко не все запасы</w:t>
      </w:r>
      <w:r w:rsidR="00965BEF" w:rsidRPr="00965BEF">
        <w:t xml:space="preserve">. </w:t>
      </w:r>
      <w:r w:rsidRPr="00965BEF">
        <w:t>Могут быть открыты еще несколько золотоносных месторождений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Наладить промышленную добычу золота Украина пытается с середины 1990-х</w:t>
      </w:r>
      <w:r w:rsidR="00965BEF" w:rsidRPr="00965BEF">
        <w:t xml:space="preserve">. </w:t>
      </w:r>
      <w:r w:rsidRPr="00965BEF">
        <w:t>В 1996-м была принята государственная программа</w:t>
      </w:r>
      <w:r w:rsidR="00965BEF">
        <w:t xml:space="preserve"> "</w:t>
      </w:r>
      <w:r w:rsidRPr="00965BEF">
        <w:t>Золото Украины</w:t>
      </w:r>
      <w:r w:rsidR="00965BEF">
        <w:t xml:space="preserve">", </w:t>
      </w:r>
      <w:r w:rsidRPr="00965BEF">
        <w:t>рассчитанная до 2005 года</w:t>
      </w:r>
      <w:r w:rsidR="00965BEF" w:rsidRPr="00965BEF">
        <w:t xml:space="preserve">. </w:t>
      </w:r>
      <w:r w:rsidRPr="00965BEF">
        <w:t>Планировалось, что ежегодно в стране будет добываться до 600 кг золота</w:t>
      </w:r>
      <w:r w:rsidR="00965BEF" w:rsidRPr="00965BEF">
        <w:t xml:space="preserve">. </w:t>
      </w:r>
      <w:r w:rsidRPr="00965BEF">
        <w:t>Основным поставщиком отечественного золота должно было стать одно из крупнейших золотоносных месторождений в Украине</w:t>
      </w:r>
      <w:r w:rsidR="00965BEF" w:rsidRPr="00965BEF">
        <w:t xml:space="preserve"> - </w:t>
      </w:r>
      <w:r w:rsidRPr="00965BEF">
        <w:t>Мужиевское в Закарпатской области</w:t>
      </w:r>
      <w:r w:rsidR="00965BEF" w:rsidRPr="00965BEF">
        <w:t xml:space="preserve">. </w:t>
      </w:r>
      <w:r w:rsidRPr="00965BEF">
        <w:t>Специально под</w:t>
      </w:r>
      <w:r w:rsidR="00965BEF">
        <w:t xml:space="preserve"> "</w:t>
      </w:r>
      <w:r w:rsidRPr="00965BEF">
        <w:t>золотой</w:t>
      </w:r>
      <w:r w:rsidR="00965BEF">
        <w:t xml:space="preserve">" </w:t>
      </w:r>
      <w:r w:rsidRPr="00965BEF">
        <w:t>проект создали госкомпанию</w:t>
      </w:r>
      <w:r w:rsidR="00965BEF">
        <w:t xml:space="preserve"> "</w:t>
      </w:r>
      <w:r w:rsidRPr="00965BEF">
        <w:t>Закарпатполиметаллы</w:t>
      </w:r>
      <w:r w:rsidR="00965BEF">
        <w:t xml:space="preserve">", </w:t>
      </w:r>
      <w:r w:rsidRPr="00965BEF">
        <w:t>которую в 1998 году включили в</w:t>
      </w:r>
      <w:r w:rsidR="00965BEF" w:rsidRPr="00965BEF">
        <w:t xml:space="preserve"> </w:t>
      </w:r>
      <w:r w:rsidRPr="00965BEF">
        <w:t>Украинские полиметаллы</w:t>
      </w:r>
      <w:r w:rsidR="00965BEF" w:rsidRPr="00965BEF">
        <w:t xml:space="preserve">. </w:t>
      </w:r>
      <w:r w:rsidRPr="00965BEF">
        <w:t>Интересно, что в Украинские полиметаллы вошли и горнорудные предприятия, не имеющие отношения к производству золота</w:t>
      </w:r>
      <w:r w:rsidR="00965BEF" w:rsidRPr="00965BEF">
        <w:t xml:space="preserve">: </w:t>
      </w:r>
      <w:r w:rsidRPr="00965BEF">
        <w:t>Иршанский, Вольногорский, Полтавский, Орджоникидзевский и Марганецкий ГОКи</w:t>
      </w:r>
      <w:r w:rsidR="00965BEF" w:rsidRPr="00965BEF">
        <w:t xml:space="preserve">. </w:t>
      </w:r>
      <w:r w:rsidRPr="00965BEF">
        <w:t>Все они впоследствии были приватизированы украинскими финансово-промышленными группами</w:t>
      </w:r>
      <w:r w:rsidR="00965BEF" w:rsidRPr="00965BEF">
        <w:t xml:space="preserve">. </w:t>
      </w:r>
      <w:r w:rsidRPr="00965BEF">
        <w:t>Полтавским ГОКом ныне владеет Константин Жеваго, а Орджоникидзевским и Марганецким</w:t>
      </w:r>
      <w:r w:rsidR="00965BEF" w:rsidRPr="00965BEF">
        <w:t xml:space="preserve"> - </w:t>
      </w:r>
      <w:r w:rsidRPr="00965BEF">
        <w:t>группа</w:t>
      </w:r>
      <w:r w:rsidR="00965BEF">
        <w:t xml:space="preserve"> "</w:t>
      </w:r>
      <w:r w:rsidRPr="00965BEF">
        <w:t>Приват</w:t>
      </w:r>
      <w:r w:rsidR="00965BEF">
        <w:t xml:space="preserve">" </w:t>
      </w:r>
      <w:r w:rsidRPr="00965BEF">
        <w:t>Игоря Коломойского</w:t>
      </w:r>
      <w:r w:rsidR="00965BEF" w:rsidRPr="00965BEF">
        <w:t xml:space="preserve">. </w:t>
      </w:r>
      <w:r w:rsidRPr="00965BEF">
        <w:t>Мощности Иршанского и Вольногорского ГОКов арендуются компанией</w:t>
      </w:r>
      <w:r w:rsidR="00965BEF">
        <w:t xml:space="preserve"> "</w:t>
      </w:r>
      <w:r w:rsidRPr="00965BEF">
        <w:t>Крымский Титан</w:t>
      </w:r>
      <w:r w:rsidR="00965BEF">
        <w:t xml:space="preserve">", </w:t>
      </w:r>
      <w:r w:rsidRPr="00965BEF">
        <w:t>подконтрольной Дмитрию Фирташу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Кроме того, Украинские полиметаллы владели рядом ювелирных предприятий, компаниями по производству янтаря</w:t>
      </w:r>
      <w:r w:rsidR="00965BEF" w:rsidRPr="00965BEF">
        <w:t>:</w:t>
      </w:r>
      <w:r w:rsidR="00965BEF">
        <w:t xml:space="preserve"> "</w:t>
      </w:r>
      <w:r w:rsidRPr="00965BEF">
        <w:t>Бурштин</w:t>
      </w:r>
      <w:r w:rsidR="00965BEF">
        <w:t>", "</w:t>
      </w:r>
      <w:r w:rsidRPr="00965BEF">
        <w:t>Бурштинові копальні</w:t>
      </w:r>
      <w:r w:rsidR="00965BEF">
        <w:t xml:space="preserve">" </w:t>
      </w:r>
      <w:r w:rsidRPr="00965BEF">
        <w:t>и</w:t>
      </w:r>
      <w:r w:rsidR="00965BEF">
        <w:t xml:space="preserve"> "</w:t>
      </w:r>
      <w:r w:rsidRPr="00965BEF">
        <w:t>Укрбурштин</w:t>
      </w:r>
      <w:r w:rsidR="00965BEF">
        <w:t xml:space="preserve">". </w:t>
      </w:r>
      <w:r w:rsidRPr="00965BEF">
        <w:t>Позднее янтарные активы объединили в госпредприятие</w:t>
      </w:r>
      <w:r w:rsidR="00965BEF">
        <w:t xml:space="preserve"> "</w:t>
      </w:r>
      <w:r w:rsidRPr="00965BEF">
        <w:t>Янтарь</w:t>
      </w:r>
      <w:r w:rsidR="00965BEF" w:rsidRPr="00965BEF">
        <w:t>-</w:t>
      </w:r>
      <w:r w:rsidRPr="00965BEF">
        <w:t>Украина</w:t>
      </w:r>
      <w:r w:rsidR="00965BEF">
        <w:t>".</w:t>
      </w:r>
    </w:p>
    <w:p w:rsidR="00965BEF" w:rsidRPr="00A74BC7" w:rsidRDefault="004A509F" w:rsidP="00A74BC7">
      <w:pPr>
        <w:ind w:firstLine="709"/>
      </w:pPr>
      <w:r w:rsidRPr="00965BEF">
        <w:t>К 2008 году единственно ценным активом в Укрполиметаллах оставалась компания</w:t>
      </w:r>
      <w:r w:rsidR="00965BEF">
        <w:t xml:space="preserve"> "</w:t>
      </w:r>
      <w:r w:rsidRPr="00965BEF">
        <w:t>Закарпатполиметаллы</w:t>
      </w:r>
      <w:r w:rsidR="00965BEF">
        <w:t xml:space="preserve">". </w:t>
      </w:r>
      <w:r w:rsidRPr="00965BEF">
        <w:t>Кроме</w:t>
      </w:r>
      <w:r w:rsidR="00965BEF">
        <w:t xml:space="preserve"> "</w:t>
      </w:r>
      <w:r w:rsidRPr="00965BEF">
        <w:t>золотых</w:t>
      </w:r>
      <w:r w:rsidR="00965BEF">
        <w:t xml:space="preserve">" </w:t>
      </w:r>
      <w:r w:rsidRPr="00965BEF">
        <w:t>активов, единственный золотодобытчик в Украине владеет блокирующими пакетами акций компаний</w:t>
      </w:r>
      <w:r w:rsidR="00965BEF">
        <w:t xml:space="preserve"> "</w:t>
      </w:r>
      <w:r w:rsidRPr="00965BEF">
        <w:t>Ирша-Ильменит</w:t>
      </w:r>
      <w:r w:rsidR="00965BEF">
        <w:t>", "</w:t>
      </w:r>
      <w:r w:rsidRPr="00965BEF">
        <w:t>Валки-Ильменит</w:t>
      </w:r>
      <w:r w:rsidR="00965BEF">
        <w:t xml:space="preserve">" </w:t>
      </w:r>
      <w:r w:rsidRPr="00965BEF">
        <w:t>и</w:t>
      </w:r>
      <w:r w:rsidR="00965BEF">
        <w:t xml:space="preserve"> "</w:t>
      </w:r>
      <w:r w:rsidRPr="00965BEF">
        <w:t>Межиреченский ГОK</w:t>
      </w:r>
      <w:r w:rsidR="00965BEF">
        <w:t xml:space="preserve">", </w:t>
      </w:r>
      <w:r w:rsidRPr="00965BEF">
        <w:t>участвующими в производстве двуокиси титана</w:t>
      </w:r>
      <w:r w:rsidR="00965BEF" w:rsidRPr="00965BEF">
        <w:t xml:space="preserve">. </w:t>
      </w:r>
      <w:r w:rsidRPr="00965BEF">
        <w:t>Однако контроль над Ирша-Ильменитом и Межиреченским ГОKом принадлежит компании Ostchem Дмитрия Фирташа</w:t>
      </w:r>
      <w:r w:rsidR="00965BEF" w:rsidRPr="00965BEF">
        <w:t>.</w:t>
      </w:r>
    </w:p>
    <w:p w:rsidR="004A509F" w:rsidRPr="00965BEF" w:rsidRDefault="00A74BC7" w:rsidP="00A74BC7">
      <w:pPr>
        <w:pStyle w:val="2"/>
      </w:pPr>
      <w:r>
        <w:br w:type="page"/>
      </w:r>
      <w:r w:rsidR="004A509F" w:rsidRPr="00965BEF">
        <w:t>Цена вопроса</w: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По оценкам геологов, в Мужиевском месторождении</w:t>
      </w:r>
      <w:r w:rsidR="00965BEF">
        <w:t xml:space="preserve"> "</w:t>
      </w:r>
      <w:r w:rsidRPr="00965BEF">
        <w:t>закопано</w:t>
      </w:r>
      <w:r w:rsidR="00965BEF">
        <w:t xml:space="preserve">" </w:t>
      </w:r>
      <w:r w:rsidRPr="00965BEF">
        <w:t>50 тонн драгметалла</w:t>
      </w:r>
      <w:r w:rsidR="00965BEF" w:rsidRPr="00965BEF">
        <w:t>.</w:t>
      </w:r>
      <w:r w:rsidR="00965BEF">
        <w:t xml:space="preserve"> "</w:t>
      </w:r>
      <w:r w:rsidRPr="00965BEF">
        <w:t>При использовании высокоэффективных технологий на этом месторождении можно добывать до 5 тонн золота в год</w:t>
      </w:r>
      <w:r w:rsidR="00965BEF">
        <w:t xml:space="preserve">", </w:t>
      </w:r>
      <w:r w:rsidR="00965BEF" w:rsidRPr="00965BEF">
        <w:t xml:space="preserve">- </w:t>
      </w:r>
      <w:r w:rsidRPr="00965BEF">
        <w:t>посчитал заведующий сектором мониторинга минерально-сырьевой базы Украины УкрГГРИ Борис Малюк</w:t>
      </w:r>
      <w:r w:rsidR="00965BEF" w:rsidRPr="00965BEF">
        <w:t xml:space="preserve">. </w:t>
      </w:r>
      <w:r w:rsidRPr="00965BEF">
        <w:t>То есть запасы Мужиевского месторождения позволяют вести активную добычу металла на протяжении минимум 10 лет</w:t>
      </w:r>
      <w:r w:rsidR="00965BEF" w:rsidRPr="00965BEF">
        <w:t xml:space="preserve">. </w:t>
      </w:r>
      <w:r w:rsidRPr="00965BEF">
        <w:t>После истощения запасов, по словам специалиста, добытчикам придется провести дополнительную разведку и, возможно, удастся получить еще несколько тонн золота</w:t>
      </w:r>
      <w:r w:rsidR="00965BEF" w:rsidRPr="00965BEF">
        <w:t>.</w:t>
      </w:r>
    </w:p>
    <w:p w:rsidR="00A74BC7" w:rsidRDefault="00A74BC7" w:rsidP="00965BEF">
      <w:pPr>
        <w:ind w:firstLine="709"/>
      </w:pPr>
    </w:p>
    <w:p w:rsidR="00965BEF" w:rsidRDefault="00A60B70" w:rsidP="00965BEF">
      <w:pPr>
        <w:ind w:firstLine="709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олото" style="width:166.5pt;height:162.75pt">
            <v:imagedata r:id="rId7" o:title=""/>
          </v:shape>
        </w:pict>
      </w:r>
    </w:p>
    <w:p w:rsidR="004A509F" w:rsidRPr="00965BEF" w:rsidRDefault="004A509F" w:rsidP="00965BEF">
      <w:pPr>
        <w:ind w:firstLine="709"/>
      </w:pPr>
      <w:r w:rsidRPr="00965BEF">
        <w:rPr>
          <w:color w:val="000000"/>
        </w:rPr>
        <w:t>Радость спекулянта За 10 лет золото подорожало в 3 раза</w:t>
      </w:r>
      <w:r w:rsidR="00A74BC7">
        <w:t>.</w: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На крупных рудниках мира золото, как правило, добывают из открытого карьера</w:t>
      </w:r>
      <w:r w:rsidR="00965BEF" w:rsidRPr="00965BEF">
        <w:t xml:space="preserve">. </w:t>
      </w:r>
      <w:r w:rsidRPr="00965BEF">
        <w:t>Мужиевское месторождение разрабатывают подземным способом</w:t>
      </w:r>
      <w:r w:rsidR="00965BEF" w:rsidRPr="00965BEF">
        <w:t xml:space="preserve">. </w:t>
      </w:r>
      <w:r w:rsidRPr="00965BEF">
        <w:t>Здесь руду обогащают и химически обрабатывают</w:t>
      </w:r>
      <w:r w:rsidR="00965BEF" w:rsidRPr="00965BEF">
        <w:t xml:space="preserve"> - </w:t>
      </w:r>
      <w:r w:rsidRPr="00965BEF">
        <w:t>до получения драгметалла</w:t>
      </w:r>
      <w:r w:rsidR="00965BEF" w:rsidRPr="00965BEF">
        <w:t xml:space="preserve">. </w:t>
      </w:r>
      <w:r w:rsidRPr="00965BEF">
        <w:t>На тонну закарпатской руды приходится всего около 5-6 г ценного металла</w:t>
      </w:r>
      <w:r w:rsidR="00965BEF">
        <w:t xml:space="preserve"> (</w:t>
      </w:r>
      <w:r w:rsidRPr="00965BEF">
        <w:t>в мире экономически эффективной считается разработка месторождений с содержанием золота не ниже 7,8-8,3 г/т</w:t>
      </w:r>
      <w:r w:rsidR="00965BEF" w:rsidRPr="00965BEF">
        <w:t xml:space="preserve">). </w:t>
      </w:r>
      <w:r w:rsidRPr="00965BEF">
        <w:t>По словам Бориса Малюка, современные технологии позволяют извлечь из руды 95% содержащегося в ней золота, однако большинство мировых золотодобывающих компаний извлекают от 75% до 90%</w:t>
      </w:r>
      <w:r w:rsidR="00965BEF" w:rsidRPr="00965BEF">
        <w:t xml:space="preserve">. </w:t>
      </w:r>
      <w:r w:rsidRPr="00965BEF">
        <w:t>На Мужиевском месторождении можно добыть лишь 60% золота</w:t>
      </w:r>
      <w:r w:rsidR="00965BEF" w:rsidRPr="00965BEF">
        <w:t xml:space="preserve">. </w:t>
      </w:r>
      <w:r w:rsidRPr="00965BEF">
        <w:t>Однако Мужиевское ценно не только золотоносными рудами, здесь можно добывать цинк и свинец</w:t>
      </w:r>
      <w:r w:rsidR="00965BEF" w:rsidRPr="00965BEF">
        <w:t xml:space="preserve">. </w:t>
      </w:r>
      <w:r w:rsidRPr="00965BEF">
        <w:t>Правда, для производства этих металлов необходимо установить дополнительное оборудование, поскольку выделение свинца и цинка из руды технологически отличается от производства золота</w:t>
      </w:r>
      <w:r w:rsidR="00965BEF" w:rsidRPr="00965BEF">
        <w:t>.</w:t>
      </w:r>
    </w:p>
    <w:p w:rsidR="00965BEF" w:rsidRDefault="00965BEF" w:rsidP="00965BEF">
      <w:pPr>
        <w:ind w:firstLine="709"/>
      </w:pPr>
      <w:r>
        <w:t>"</w:t>
      </w:r>
      <w:r w:rsidR="004A509F" w:rsidRPr="00965BEF">
        <w:t>В Западной Африке подготовка к освоению золотоносного рудника обходится инвесторам в среднем в $10-15 млн, у нас</w:t>
      </w:r>
      <w:r w:rsidRPr="00965BEF">
        <w:t xml:space="preserve"> - </w:t>
      </w:r>
      <w:r w:rsidR="004A509F" w:rsidRPr="00965BEF">
        <w:t>$30 млн</w:t>
      </w:r>
      <w:r>
        <w:t xml:space="preserve">", </w:t>
      </w:r>
      <w:r w:rsidRPr="00965BEF">
        <w:t xml:space="preserve">- </w:t>
      </w:r>
      <w:r w:rsidR="004A509F" w:rsidRPr="00965BEF">
        <w:t>посчитал Борис Малюк</w:t>
      </w:r>
      <w:r w:rsidRPr="00965BEF">
        <w:t xml:space="preserve">. </w:t>
      </w:r>
      <w:r w:rsidR="004A509F" w:rsidRPr="00965BEF">
        <w:t>При этом подготовка к разработке может занять 5-6 лет</w:t>
      </w:r>
      <w:r w:rsidRPr="00965BEF">
        <w:t xml:space="preserve">. </w:t>
      </w:r>
      <w:r w:rsidR="004A509F" w:rsidRPr="00965BEF">
        <w:t>В процессе эксплуатации рудника придется тратить еще $20-30 млн ежегодно</w:t>
      </w:r>
      <w:r w:rsidRPr="00965BEF">
        <w:t xml:space="preserve">. </w:t>
      </w:r>
      <w:r w:rsidR="004A509F" w:rsidRPr="00965BEF">
        <w:t>Впрочем, на Мужиевском месторождении этап подготовки к освоению уже пройден</w:t>
      </w:r>
      <w:r w:rsidRPr="00965BEF">
        <w:t xml:space="preserve">. </w:t>
      </w:r>
    </w:p>
    <w:p w:rsidR="00965BEF" w:rsidRDefault="00965BEF" w:rsidP="00965BEF">
      <w:pPr>
        <w:ind w:firstLine="709"/>
      </w:pPr>
    </w:p>
    <w:p w:rsidR="00965BEF" w:rsidRDefault="00A60B70" w:rsidP="00965BEF">
      <w:pPr>
        <w:ind w:firstLine="709"/>
      </w:pPr>
      <w:r>
        <w:pict>
          <v:shape id="_x0000_i1026" type="#_x0000_t75" style="width:187.5pt;height:45.75pt">
            <v:imagedata r:id="rId8" o:title=""/>
          </v:shape>
        </w:pic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Обычно крупнейшими покупателями продукции золотодобывающих компаний</w:t>
      </w:r>
      <w:r w:rsidR="00965BEF">
        <w:t xml:space="preserve"> (</w:t>
      </w:r>
      <w:r w:rsidRPr="00965BEF">
        <w:t>в основном через аффинажеров</w:t>
      </w:r>
      <w:r w:rsidR="00965BEF" w:rsidRPr="00965BEF">
        <w:t xml:space="preserve"> - </w:t>
      </w:r>
      <w:r w:rsidRPr="00965BEF">
        <w:t>производителей слитков</w:t>
      </w:r>
      <w:r w:rsidR="00965BEF" w:rsidRPr="00965BEF">
        <w:t xml:space="preserve">) </w:t>
      </w:r>
      <w:r w:rsidRPr="00965BEF">
        <w:t>являются центральные банки</w:t>
      </w:r>
      <w:r w:rsidR="00965BEF" w:rsidRPr="00965BEF">
        <w:t xml:space="preserve">. </w:t>
      </w:r>
      <w:r w:rsidRPr="00965BEF">
        <w:t>Они выкупают золото, как правило, по цене на 10-20% ниже рыночной</w:t>
      </w:r>
      <w:r w:rsidR="00965BEF" w:rsidRPr="00965BEF">
        <w:t xml:space="preserve">. </w:t>
      </w:r>
      <w:r w:rsidRPr="00965BEF">
        <w:t>Остатки продают ювелирным компаниям и спекулянтам</w:t>
      </w:r>
      <w:r w:rsidR="00965BEF" w:rsidRPr="00965BEF">
        <w:t xml:space="preserve">. </w:t>
      </w:r>
      <w:r w:rsidRPr="00965BEF">
        <w:t>Рентабельность добычи золота по украинским меркам невелика</w:t>
      </w:r>
      <w:r w:rsidR="00965BEF" w:rsidRPr="00965BEF">
        <w:t xml:space="preserve"> - </w:t>
      </w:r>
      <w:r w:rsidRPr="00965BEF">
        <w:t>10-15%, срок окупаемости инвестиций в отрасль обычно составляет 5 лет</w:t>
      </w:r>
      <w:r w:rsidR="00965BEF" w:rsidRPr="00965BEF">
        <w:t xml:space="preserve">. </w:t>
      </w:r>
      <w:r w:rsidRPr="00965BEF">
        <w:t>Главное преимущество золотодобывающего бизнеса</w:t>
      </w:r>
      <w:r w:rsidR="00965BEF" w:rsidRPr="00965BEF">
        <w:t xml:space="preserve"> - </w:t>
      </w:r>
      <w:r w:rsidRPr="00965BEF">
        <w:t>постоянный рынок сбыта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За время существования Украинских полиметаллов на Мужиевском месторождении добыто около 300 кг золота</w:t>
      </w:r>
      <w:r w:rsidR="00965BEF" w:rsidRPr="00965BEF">
        <w:t xml:space="preserve">. </w:t>
      </w:r>
      <w:r w:rsidRPr="00965BEF">
        <w:t>Пик добычи пришелся на 2000 год, когда произвели 134,8 кг драгметалла</w:t>
      </w:r>
      <w:r w:rsidR="00965BEF" w:rsidRPr="00965BEF">
        <w:t xml:space="preserve">. </w:t>
      </w:r>
      <w:r w:rsidRPr="00965BEF">
        <w:t>Причем на первых порах концентрация золота в руде была выше, чем сейчас</w:t>
      </w:r>
      <w:r w:rsidR="00965BEF" w:rsidRPr="00965BEF">
        <w:t xml:space="preserve">: </w:t>
      </w:r>
      <w:r w:rsidRPr="00965BEF">
        <w:t>12 г на тонну руды, но запасы такой породы быстро иссякли</w:t>
      </w:r>
      <w:r w:rsidR="00965BEF" w:rsidRPr="00965BEF">
        <w:t xml:space="preserve">. </w:t>
      </w:r>
      <w:r w:rsidRPr="00965BEF">
        <w:t>Единственным потребителем золота украинской добычи была Госказна, закупавшая металл по ценам чуть ниже мировых</w:t>
      </w:r>
      <w:r w:rsidR="00965BEF" w:rsidRPr="00965BEF">
        <w:t xml:space="preserve">. </w:t>
      </w:r>
      <w:r w:rsidRPr="00965BEF">
        <w:t>Постепенно уровень добычи упал</w:t>
      </w:r>
      <w:r w:rsidR="00965BEF" w:rsidRPr="00965BEF">
        <w:t xml:space="preserve">: </w:t>
      </w:r>
      <w:r w:rsidRPr="00965BEF">
        <w:t>банально не хватило средств для дальнейшей разработки</w:t>
      </w:r>
      <w:r w:rsidR="00965BEF" w:rsidRPr="00965BEF">
        <w:t xml:space="preserve">. </w:t>
      </w:r>
      <w:r w:rsidRPr="00965BEF">
        <w:t>С 2006-го Мужиевское месторождение простаивает</w:t>
      </w:r>
      <w:r w:rsidR="00965BEF" w:rsidRPr="00965BEF">
        <w:t>.</w:t>
      </w:r>
    </w:p>
    <w:p w:rsidR="00A74BC7" w:rsidRDefault="00A74BC7" w:rsidP="00965BEF">
      <w:pPr>
        <w:ind w:firstLine="709"/>
        <w:rPr>
          <w:color w:val="000000"/>
        </w:rPr>
      </w:pPr>
    </w:p>
    <w:p w:rsidR="004A509F" w:rsidRPr="00965BEF" w:rsidRDefault="004A509F" w:rsidP="00A74BC7">
      <w:pPr>
        <w:pStyle w:val="2"/>
      </w:pPr>
      <w:r w:rsidRPr="00965BEF">
        <w:t>Такое золото нам не нужно</w:t>
      </w:r>
    </w:p>
    <w:p w:rsidR="00A74BC7" w:rsidRDefault="00A74BC7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Пока украинский крупный бизнес не заинтересован в добыче золота</w:t>
      </w:r>
      <w:r w:rsidR="00965BEF" w:rsidRPr="00965BEF">
        <w:t xml:space="preserve">. </w:t>
      </w:r>
      <w:r w:rsidRPr="00965BEF">
        <w:t>Основная причина</w:t>
      </w:r>
      <w:r w:rsidR="00965BEF" w:rsidRPr="00965BEF">
        <w:t xml:space="preserve"> - </w:t>
      </w:r>
      <w:r w:rsidRPr="00965BEF">
        <w:t>высокий риск инвестиций</w:t>
      </w:r>
      <w:r w:rsidR="00965BEF" w:rsidRPr="00965BEF">
        <w:t xml:space="preserve">. </w:t>
      </w:r>
      <w:r w:rsidRPr="00965BEF">
        <w:t>Геологоразведка подтверждает большое количество драгметалла в украинских недрах</w:t>
      </w:r>
      <w:r w:rsidR="00965BEF" w:rsidRPr="00965BEF">
        <w:t xml:space="preserve">. </w:t>
      </w:r>
      <w:r w:rsidRPr="00965BEF">
        <w:t>Однако при реальной добыче может оказаться, что золота в руде содержится намного меньше, чем предполагалось, или извлечь драгметалл из породы сложно и неоправданно дорого</w:t>
      </w:r>
      <w:r w:rsidR="00965BEF" w:rsidRPr="00965BEF">
        <w:t xml:space="preserve">. </w:t>
      </w:r>
    </w:p>
    <w:p w:rsidR="00965BEF" w:rsidRDefault="00965BEF" w:rsidP="00965BEF">
      <w:pPr>
        <w:ind w:firstLine="709"/>
      </w:pPr>
    </w:p>
    <w:p w:rsidR="00965BEF" w:rsidRDefault="00A60B70" w:rsidP="00965BEF">
      <w:pPr>
        <w:ind w:firstLine="709"/>
      </w:pPr>
      <w:r>
        <w:pict>
          <v:shape id="_x0000_i1027" type="#_x0000_t75" style="width:97.5pt;height:85.5pt">
            <v:imagedata r:id="rId9" o:title=""/>
          </v:shape>
        </w:pic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Зарубежные стратегические инвесторы также мало интересуются украинской золотодобычей</w:t>
      </w:r>
      <w:r w:rsidR="00965BEF" w:rsidRPr="00965BEF">
        <w:t xml:space="preserve"> - </w:t>
      </w:r>
      <w:r w:rsidRPr="00965BEF">
        <w:t>в мире пока хватает крупных золотых рудников, где добыть драгметалл намного проще и дешевле, чем в Украине</w:t>
      </w:r>
      <w:r w:rsidR="00965BEF" w:rsidRPr="00965BEF">
        <w:t xml:space="preserve">. </w:t>
      </w:r>
      <w:r w:rsidRPr="00965BEF">
        <w:t>Поэтому до сих пор на отечественные месторождения приходили в основном западные венчурные компании, созданные для реализации высокорисковых проектов</w:t>
      </w:r>
      <w:r w:rsidR="00965BEF" w:rsidRPr="00965BEF">
        <w:t xml:space="preserve">. </w:t>
      </w:r>
      <w:r w:rsidRPr="00965BEF">
        <w:t>Одна из них</w:t>
      </w:r>
      <w:r w:rsidR="00965BEF" w:rsidRPr="00965BEF">
        <w:t xml:space="preserve"> - </w:t>
      </w:r>
      <w:r w:rsidRPr="00965BEF">
        <w:t>Ashurst Resources International, зарегистрированная на Бермудских островах и основанная несколькими канадскими бизнесменами</w:t>
      </w:r>
      <w:r w:rsidR="00965BEF" w:rsidRPr="00965BEF">
        <w:t xml:space="preserve">. </w:t>
      </w:r>
      <w:r w:rsidRPr="00965BEF">
        <w:t>Предприниматели разместили акции компании на Лондонской и Канадской фондовых биржах, а также внебиржевом рынке США и привлекали деньги инвесторов для разработки украинских золотоносных рудников</w:t>
      </w:r>
      <w:r w:rsidR="00965BEF" w:rsidRPr="00965BEF">
        <w:t xml:space="preserve">. </w:t>
      </w:r>
      <w:r w:rsidRPr="00965BEF">
        <w:t>Договориться же с украинским правительством об их покупке канадцам не удалось, и вскоре они покинули Украину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На украинском золоте пыталась заработать небольшая австралийская горнодобывающая компания RGC Exploration</w:t>
      </w:r>
      <w:r w:rsidR="00965BEF" w:rsidRPr="00965BEF">
        <w:t xml:space="preserve">. </w:t>
      </w:r>
      <w:r w:rsidRPr="00965BEF">
        <w:t>В 1996 году компания подписала меморандум с украинскими властями о создании совместного предприятия на базе Мужиевского месторождения</w:t>
      </w:r>
      <w:r w:rsidR="00965BEF" w:rsidRPr="00965BEF">
        <w:t xml:space="preserve">. </w:t>
      </w:r>
      <w:r w:rsidRPr="00965BEF">
        <w:t>Потратив на подготовку проекта около $1 млн, RGC отказалась от его разработки</w:t>
      </w:r>
      <w:r w:rsidR="00965BEF" w:rsidRPr="00965BEF">
        <w:t xml:space="preserve">: </w:t>
      </w:r>
      <w:r w:rsidRPr="00965BEF">
        <w:t>по мнению австралийцев, эксплуатация наших рудников совершенно невыгодный бизнес</w:t>
      </w:r>
      <w:r w:rsidR="00965BEF" w:rsidRPr="00965BEF">
        <w:t>.</w:t>
      </w:r>
    </w:p>
    <w:p w:rsidR="00965BEF" w:rsidRDefault="00965BEF" w:rsidP="00965BEF">
      <w:pPr>
        <w:ind w:firstLine="709"/>
        <w:rPr>
          <w:color w:val="000000"/>
        </w:rPr>
      </w:pPr>
    </w:p>
    <w:p w:rsidR="00A74BC7" w:rsidRDefault="00A60B70" w:rsidP="00965BEF">
      <w:pPr>
        <w:ind w:firstLine="709"/>
      </w:pPr>
      <w:r>
        <w:pict>
          <v:shape id="_x0000_i1028" type="#_x0000_t75" alt="золото" style="width:171pt;height:159pt">
            <v:imagedata r:id="rId10" o:title=""/>
          </v:shape>
        </w:pict>
      </w:r>
    </w:p>
    <w:p w:rsidR="00965BEF" w:rsidRDefault="004A509F" w:rsidP="00965BEF">
      <w:pPr>
        <w:ind w:firstLine="709"/>
      </w:pPr>
      <w:r w:rsidRPr="00965BEF">
        <w:rPr>
          <w:color w:val="000000"/>
        </w:rPr>
        <w:t>Мировая добыча золота в 2007 г</w:t>
      </w:r>
      <w:r w:rsidR="00965BEF">
        <w:rPr>
          <w:color w:val="000000"/>
        </w:rPr>
        <w:t>.,</w:t>
      </w:r>
      <w:r w:rsidRPr="00965BEF">
        <w:rPr>
          <w:color w:val="000000"/>
        </w:rPr>
        <w:t xml:space="preserve"> тонн</w:t>
      </w:r>
      <w:r w:rsidR="00965BEF">
        <w:t xml:space="preserve"> </w: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В 2003 году 6% акций Закарпатполиметаллов купила компания Zakar Resources</w:t>
      </w:r>
      <w:r w:rsidR="00965BEF" w:rsidRPr="00965BEF">
        <w:t xml:space="preserve">. </w:t>
      </w:r>
      <w:r w:rsidRPr="00965BEF">
        <w:t>Иностранцы предложили стратегическую программу развития Закарпатполиметаллов на сумму $68 млн</w:t>
      </w:r>
      <w:r w:rsidR="00965BEF" w:rsidRPr="00965BEF">
        <w:t xml:space="preserve">. </w:t>
      </w:r>
      <w:r w:rsidRPr="00965BEF">
        <w:t>Компания планировала добывать на Мужиевском месторождении 1,5-2 тонны золота в год</w:t>
      </w:r>
      <w:r w:rsidR="00965BEF" w:rsidRPr="00965BEF">
        <w:t xml:space="preserve">. </w:t>
      </w:r>
      <w:r w:rsidRPr="00965BEF">
        <w:t>Чуть позже Zakar Resources вознамерилась купить контрольный пакет акций, но продавать госдолю правительство не собиралось, а потому инвестор прекратил финансирование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В начале 2008 года о своем намерении инвестировать в украинское золото заявила британская European Minerals Corporation</w:t>
      </w:r>
      <w:r w:rsidR="00965BEF">
        <w:t xml:space="preserve"> (</w:t>
      </w:r>
      <w:r w:rsidRPr="00965BEF">
        <w:t>EMC</w:t>
      </w:r>
      <w:r w:rsidR="00965BEF" w:rsidRPr="00965BEF">
        <w:t>),</w:t>
      </w:r>
      <w:r w:rsidRPr="00965BEF">
        <w:t xml:space="preserve"> добывающая драгметалл в Казахстане</w:t>
      </w:r>
      <w:r w:rsidR="00965BEF" w:rsidRPr="00965BEF">
        <w:t>.</w:t>
      </w:r>
    </w:p>
    <w:p w:rsidR="00965BEF" w:rsidRDefault="00965BEF" w:rsidP="00965BEF">
      <w:pPr>
        <w:ind w:firstLine="709"/>
      </w:pPr>
    </w:p>
    <w:p w:rsidR="00965BEF" w:rsidRDefault="00A60B70" w:rsidP="00965BEF">
      <w:pPr>
        <w:ind w:firstLine="709"/>
      </w:pPr>
      <w:r>
        <w:pict>
          <v:shape id="_x0000_i1029" type="#_x0000_t75" style="width:187.5pt;height:57pt">
            <v:imagedata r:id="rId11" o:title=""/>
          </v:shape>
        </w:pic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Инвестаналитики не исключают, что после расформирования Укрполиметаллов последует приватизация Закарпатполиметаллов</w:t>
      </w:r>
      <w:r w:rsidR="00965BEF" w:rsidRPr="00965BEF">
        <w:t xml:space="preserve">. </w:t>
      </w:r>
      <w:r w:rsidRPr="00965BEF">
        <w:t>Ценность компании</w:t>
      </w:r>
      <w:r w:rsidR="00965BEF" w:rsidRPr="00965BEF">
        <w:t xml:space="preserve"> - </w:t>
      </w:r>
      <w:r w:rsidRPr="00965BEF">
        <w:t>в опыте разработки Мужиевского месторождения</w:t>
      </w:r>
      <w:r w:rsidR="00965BEF">
        <w:t xml:space="preserve"> (</w:t>
      </w:r>
      <w:r w:rsidRPr="00965BEF">
        <w:t>другие украинские золотоносные рудники никто не осваивал в промышленных масштабах</w:t>
      </w:r>
      <w:r w:rsidR="00965BEF" w:rsidRPr="00965BEF">
        <w:t xml:space="preserve">); </w:t>
      </w:r>
      <w:r w:rsidRPr="00965BEF">
        <w:t>наличие необходимых производственных мощностей и неполного пакета разрешений на добычу золота</w:t>
      </w:r>
      <w:r w:rsidR="00965BEF">
        <w:t xml:space="preserve"> (</w:t>
      </w:r>
      <w:r w:rsidRPr="00965BEF">
        <w:t>разрабатывать месторождения можно только с полным пакетом документов</w:t>
      </w:r>
      <w:r w:rsidR="00965BEF" w:rsidRPr="00965BEF">
        <w:t xml:space="preserve">). </w:t>
      </w:r>
      <w:r w:rsidRPr="00965BEF">
        <w:t>Будущему инвестору придется выбивать недостающие разрешения</w:t>
      </w:r>
      <w:r w:rsidR="00965BEF" w:rsidRPr="00965BEF">
        <w:t xml:space="preserve">. </w:t>
      </w:r>
      <w:r w:rsidRPr="00965BEF">
        <w:t>Впрочем, добыча золота в Украине возможна и в обход Закарпатполиметаллов</w:t>
      </w:r>
      <w:r w:rsidR="00965BEF" w:rsidRPr="00965BEF">
        <w:t xml:space="preserve">: </w:t>
      </w:r>
      <w:r w:rsidRPr="00965BEF">
        <w:t>для этого, по словам специалистов, инвестору придется купить на аукционе полный пакет документов на разработку месторождения с запасами золота, приобрести необходимое оборудование и произвести более тщательную геологоразведку</w:t>
      </w:r>
      <w:r w:rsidR="00965BEF" w:rsidRPr="00965BEF">
        <w:t xml:space="preserve">. </w:t>
      </w:r>
      <w:r w:rsidRPr="00965BEF">
        <w:t>Цена вопроса</w:t>
      </w:r>
      <w:r w:rsidR="00965BEF" w:rsidRPr="00965BEF">
        <w:t xml:space="preserve"> - </w:t>
      </w:r>
      <w:r w:rsidRPr="00965BEF">
        <w:t>$100 млн</w:t>
      </w:r>
      <w:r w:rsidR="00965BEF" w:rsidRPr="00965BEF">
        <w:t xml:space="preserve">. </w:t>
      </w:r>
      <w:r w:rsidRPr="00965BEF">
        <w:t>При ежегодной добыче даже 1 тонны металла бизнес на золоте с нуля в Украине окупится минимум через 10 лет</w:t>
      </w:r>
      <w:r w:rsidR="00965BEF" w:rsidRPr="00965BEF">
        <w:t>.</w:t>
      </w:r>
    </w:p>
    <w:p w:rsidR="00965BEF" w:rsidRDefault="00965BEF" w:rsidP="00965BEF">
      <w:pPr>
        <w:pStyle w:val="2"/>
      </w:pPr>
    </w:p>
    <w:p w:rsidR="004A509F" w:rsidRPr="00965BEF" w:rsidRDefault="004A509F" w:rsidP="00965BEF">
      <w:pPr>
        <w:pStyle w:val="2"/>
      </w:pPr>
      <w:r w:rsidRPr="00965BEF">
        <w:t>Золотые страны</w:t>
      </w:r>
    </w:p>
    <w:p w:rsidR="00965BEF" w:rsidRDefault="00965BEF" w:rsidP="00965BEF">
      <w:pPr>
        <w:ind w:firstLine="709"/>
      </w:pPr>
    </w:p>
    <w:p w:rsidR="00965BEF" w:rsidRDefault="004A509F" w:rsidP="00965BEF">
      <w:pPr>
        <w:ind w:firstLine="709"/>
      </w:pPr>
      <w:r w:rsidRPr="00965BEF">
        <w:t>В 2007 году в мире добыто почти 2,5 тыс</w:t>
      </w:r>
      <w:r w:rsidR="00965BEF" w:rsidRPr="00965BEF">
        <w:t xml:space="preserve">. </w:t>
      </w:r>
      <w:r w:rsidRPr="00965BEF">
        <w:t>тонн золота</w:t>
      </w:r>
      <w:r w:rsidR="00965BEF">
        <w:t xml:space="preserve"> (</w:t>
      </w:r>
      <w:r w:rsidRPr="00965BEF">
        <w:t>+1,6% за год</w:t>
      </w:r>
      <w:r w:rsidR="00965BEF" w:rsidRPr="00965BEF">
        <w:t xml:space="preserve">). </w:t>
      </w:r>
      <w:r w:rsidRPr="00965BEF">
        <w:t>Лидер отрасли</w:t>
      </w:r>
      <w:r w:rsidR="00965BEF" w:rsidRPr="00965BEF">
        <w:t xml:space="preserve"> - </w:t>
      </w:r>
      <w:r w:rsidRPr="00965BEF">
        <w:t>ЮАР, ежегодно добывающая около 270 тонн</w:t>
      </w:r>
      <w:r w:rsidR="00965BEF" w:rsidRPr="00965BEF">
        <w:t xml:space="preserve">. </w:t>
      </w:r>
      <w:r w:rsidRPr="00965BEF">
        <w:t>В недрах африканской страны содержится 40% мировых запасов золота</w:t>
      </w:r>
      <w:r w:rsidR="00965BEF" w:rsidRPr="00965BEF">
        <w:t xml:space="preserve">. </w:t>
      </w:r>
      <w:r w:rsidRPr="00965BEF">
        <w:t>Крупными производителями также являются США, Австралия и Китай, ежегодно добывающие более 200 тонн каждая</w:t>
      </w:r>
      <w:r w:rsidR="00965BEF" w:rsidRPr="00965BEF">
        <w:t>.</w:t>
      </w:r>
    </w:p>
    <w:p w:rsidR="00965BEF" w:rsidRDefault="004A509F" w:rsidP="00965BEF">
      <w:pPr>
        <w:ind w:firstLine="709"/>
      </w:pPr>
      <w:r w:rsidRPr="00965BEF">
        <w:t>Крупнейший золотодобытчик на территории бывшего СССР</w:t>
      </w:r>
      <w:r w:rsidR="00965BEF" w:rsidRPr="00965BEF">
        <w:t xml:space="preserve"> - </w:t>
      </w:r>
      <w:r w:rsidRPr="00965BEF">
        <w:t>Россия</w:t>
      </w:r>
      <w:r w:rsidR="00965BEF" w:rsidRPr="00965BEF">
        <w:t xml:space="preserve">. </w:t>
      </w:r>
      <w:r w:rsidRPr="00965BEF">
        <w:t>В 2007 году в стране произвели</w:t>
      </w:r>
      <w:r w:rsidR="00965BEF" w:rsidRPr="00965BEF">
        <w:t xml:space="preserve"> </w:t>
      </w:r>
      <w:r w:rsidRPr="00965BEF">
        <w:t>тонн золота</w:t>
      </w:r>
      <w:r w:rsidR="00965BEF" w:rsidRPr="00965BEF">
        <w:t xml:space="preserve">. </w:t>
      </w:r>
      <w:r w:rsidRPr="00965BEF">
        <w:t>В советские времена в России добывалась львиная доля золота</w:t>
      </w:r>
      <w:r w:rsidR="00965BEF" w:rsidRPr="00965BEF">
        <w:t xml:space="preserve"> - </w:t>
      </w:r>
      <w:r w:rsidRPr="00965BEF">
        <w:t>по 200 тонн ежегодно при общей добыче в 300 тонн</w:t>
      </w:r>
      <w:r w:rsidR="00965BEF" w:rsidRPr="00965BEF">
        <w:t xml:space="preserve">. </w:t>
      </w:r>
      <w:r w:rsidRPr="00965BEF">
        <w:t>Вторым по объемам добычи был Узбекистан</w:t>
      </w:r>
      <w:r w:rsidR="00965BEF" w:rsidRPr="00965BEF">
        <w:t xml:space="preserve">. </w:t>
      </w:r>
      <w:r w:rsidRPr="00965BEF">
        <w:t>Промышленная добыча золота в советской Украине считалась нецелесообразной, поскольку общие запасы драгметалла в республике были даже ниже ежегодного уровня всесоюзной добычи</w:t>
      </w:r>
      <w:r w:rsidR="00965BEF" w:rsidRPr="00965BEF">
        <w:t xml:space="preserve">. </w:t>
      </w:r>
      <w:r w:rsidRPr="00965BEF">
        <w:t>Сейчас наиболее перспективными месторождениями в Украине считаются Мужиевское и Сауляк</w:t>
      </w:r>
      <w:r w:rsidR="00965BEF">
        <w:t xml:space="preserve"> (</w:t>
      </w:r>
      <w:r w:rsidRPr="00965BEF">
        <w:t>Закарпатье</w:t>
      </w:r>
      <w:r w:rsidR="00965BEF" w:rsidRPr="00965BEF">
        <w:t>),</w:t>
      </w:r>
      <w:r w:rsidRPr="00965BEF">
        <w:t xml:space="preserve"> а также месторождения так называемого Украинского щита в Центральной Украине</w:t>
      </w:r>
      <w:r w:rsidR="00965BEF" w:rsidRPr="00965BEF">
        <w:t>.</w:t>
      </w:r>
    </w:p>
    <w:p w:rsidR="00A74BC7" w:rsidRDefault="00A74BC7" w:rsidP="00965BEF">
      <w:pPr>
        <w:ind w:firstLine="709"/>
      </w:pPr>
    </w:p>
    <w:p w:rsidR="004A509F" w:rsidRDefault="004A509F" w:rsidP="00965BEF">
      <w:pPr>
        <w:pStyle w:val="2"/>
      </w:pPr>
      <w:r w:rsidRPr="00965BEF">
        <w:t>Как делают золото</w:t>
      </w:r>
    </w:p>
    <w:p w:rsidR="00965BEF" w:rsidRPr="00965BEF" w:rsidRDefault="00965BEF" w:rsidP="00965BEF">
      <w:pPr>
        <w:ind w:firstLine="709"/>
      </w:pPr>
    </w:p>
    <w:p w:rsidR="004A509F" w:rsidRPr="00965BEF" w:rsidRDefault="00A60B70" w:rsidP="00965BEF">
      <w:pPr>
        <w:ind w:firstLine="709"/>
      </w:pPr>
      <w:r>
        <w:pict>
          <v:shape id="_x0000_i1030" type="#_x0000_t75" alt="золото" style="width:150pt;height:150pt">
            <v:imagedata r:id="rId12" o:title=""/>
          </v:shape>
        </w:pict>
      </w:r>
    </w:p>
    <w:p w:rsidR="004A509F" w:rsidRDefault="00A74BC7" w:rsidP="00965BEF">
      <w:pPr>
        <w:ind w:firstLine="709"/>
      </w:pPr>
      <w:r>
        <w:t>Д</w:t>
      </w:r>
      <w:r w:rsidR="004A509F" w:rsidRPr="00965BEF">
        <w:t>обыча золотоносной руды в шахте</w:t>
      </w:r>
    </w:p>
    <w:p w:rsidR="00965BEF" w:rsidRDefault="00965BEF" w:rsidP="00965BEF">
      <w:pPr>
        <w:ind w:firstLine="709"/>
      </w:pPr>
    </w:p>
    <w:p w:rsidR="004A509F" w:rsidRPr="00965BEF" w:rsidRDefault="00A60B70" w:rsidP="00965BEF">
      <w:pPr>
        <w:ind w:firstLine="709"/>
      </w:pPr>
      <w:r>
        <w:pict>
          <v:shape id="_x0000_i1031" type="#_x0000_t75" alt="золото" style="width:149.25pt;height:149.25pt">
            <v:imagedata r:id="rId13" o:title=""/>
          </v:shape>
        </w:pict>
      </w:r>
    </w:p>
    <w:p w:rsidR="004A509F" w:rsidRPr="00965BEF" w:rsidRDefault="00A74BC7" w:rsidP="00965BEF">
      <w:pPr>
        <w:ind w:firstLine="709"/>
      </w:pPr>
      <w:r>
        <w:t>О</w:t>
      </w:r>
      <w:r w:rsidR="004A509F" w:rsidRPr="00965BEF">
        <w:t>богащение руды</w:t>
      </w:r>
    </w:p>
    <w:p w:rsidR="004A509F" w:rsidRDefault="004A509F" w:rsidP="00965BEF">
      <w:pPr>
        <w:ind w:firstLine="709"/>
      </w:pPr>
    </w:p>
    <w:p w:rsidR="00965BEF" w:rsidRDefault="00A60B70" w:rsidP="00965BEF">
      <w:pPr>
        <w:ind w:firstLine="709"/>
      </w:pPr>
      <w:r>
        <w:pict>
          <v:shape id="_x0000_i1032" type="#_x0000_t75" alt="золото" style="width:149.25pt;height:147pt">
            <v:imagedata r:id="rId14" o:title=""/>
          </v:shape>
        </w:pict>
      </w:r>
    </w:p>
    <w:p w:rsidR="004A509F" w:rsidRDefault="00A74BC7" w:rsidP="00965BEF">
      <w:pPr>
        <w:ind w:firstLine="709"/>
      </w:pPr>
      <w:r>
        <w:t>Х</w:t>
      </w:r>
      <w:r w:rsidR="004A509F" w:rsidRPr="00965BEF">
        <w:t>имическая обработка</w:t>
      </w:r>
    </w:p>
    <w:p w:rsidR="00965BEF" w:rsidRPr="00965BEF" w:rsidRDefault="00965BEF" w:rsidP="00965BEF">
      <w:pPr>
        <w:ind w:firstLine="709"/>
      </w:pPr>
    </w:p>
    <w:p w:rsidR="004A509F" w:rsidRPr="00965BEF" w:rsidRDefault="00A60B70" w:rsidP="00965BEF">
      <w:pPr>
        <w:ind w:firstLine="709"/>
      </w:pPr>
      <w:r>
        <w:pict>
          <v:shape id="_x0000_i1033" type="#_x0000_t75" alt="золото" style="width:149.25pt;height:149.25pt">
            <v:imagedata r:id="rId15" o:title=""/>
          </v:shape>
        </w:pict>
      </w:r>
    </w:p>
    <w:p w:rsidR="00DC3A6A" w:rsidRPr="00965BEF" w:rsidRDefault="00A74BC7" w:rsidP="00965BEF">
      <w:pPr>
        <w:ind w:firstLine="709"/>
      </w:pPr>
      <w:r>
        <w:t>В</w:t>
      </w:r>
      <w:r w:rsidR="004A509F" w:rsidRPr="00965BEF">
        <w:t>ыплавка золота</w:t>
      </w:r>
      <w:bookmarkStart w:id="0" w:name="_GoBack"/>
      <w:bookmarkEnd w:id="0"/>
    </w:p>
    <w:sectPr w:rsidR="00DC3A6A" w:rsidRPr="00965BEF" w:rsidSect="00965BEF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FF" w:rsidRDefault="00E06AFF">
      <w:pPr>
        <w:ind w:firstLine="709"/>
      </w:pPr>
      <w:r>
        <w:separator/>
      </w:r>
    </w:p>
  </w:endnote>
  <w:endnote w:type="continuationSeparator" w:id="0">
    <w:p w:rsidR="00E06AFF" w:rsidRDefault="00E06AF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EF" w:rsidRDefault="00965BE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EF" w:rsidRDefault="00965BE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FF" w:rsidRDefault="00E06AFF">
      <w:pPr>
        <w:ind w:firstLine="709"/>
      </w:pPr>
      <w:r>
        <w:separator/>
      </w:r>
    </w:p>
  </w:footnote>
  <w:footnote w:type="continuationSeparator" w:id="0">
    <w:p w:rsidR="00E06AFF" w:rsidRDefault="00E06AF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EF" w:rsidRDefault="00631EB4" w:rsidP="00965BEF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65BEF" w:rsidRDefault="00965BEF" w:rsidP="00965BE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BEF" w:rsidRDefault="00965B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509F"/>
    <w:rsid w:val="000317E5"/>
    <w:rsid w:val="000C40AE"/>
    <w:rsid w:val="00294C29"/>
    <w:rsid w:val="004A509F"/>
    <w:rsid w:val="00631EB4"/>
    <w:rsid w:val="006E5B18"/>
    <w:rsid w:val="00800B6D"/>
    <w:rsid w:val="00965BEF"/>
    <w:rsid w:val="00977652"/>
    <w:rsid w:val="00A60B70"/>
    <w:rsid w:val="00A74BC7"/>
    <w:rsid w:val="00B175B4"/>
    <w:rsid w:val="00DC3A6A"/>
    <w:rsid w:val="00E0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8A99D7E-69DB-45F1-8DCE-10756280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5BE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5BE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5BE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965BE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5BE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5BE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5BE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5BE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5BE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65BEF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965BE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965BE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965BEF"/>
    <w:rPr>
      <w:vertAlign w:val="superscript"/>
    </w:rPr>
  </w:style>
  <w:style w:type="paragraph" w:styleId="a8">
    <w:name w:val="Body Text"/>
    <w:basedOn w:val="a2"/>
    <w:link w:val="ab"/>
    <w:uiPriority w:val="99"/>
    <w:rsid w:val="00965BEF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65BE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65BE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965B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65BEF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965B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965BE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965BEF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965BEF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965BE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965BE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5BEF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965BE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965BEF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965BEF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965BE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65BE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65BE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5BE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5BE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5BE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65BE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65BE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65BE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65BE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5BEF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5BEF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65BE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65BE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65B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5BEF"/>
    <w:rPr>
      <w:i/>
      <w:iCs/>
    </w:rPr>
  </w:style>
  <w:style w:type="paragraph" w:customStyle="1" w:styleId="afb">
    <w:name w:val="ТАБЛИЦА"/>
    <w:next w:val="a2"/>
    <w:autoRedefine/>
    <w:uiPriority w:val="99"/>
    <w:rsid w:val="00965BE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65BEF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65BEF"/>
  </w:style>
  <w:style w:type="table" w:customStyle="1" w:styleId="15">
    <w:name w:val="Стиль таблицы1"/>
    <w:uiPriority w:val="99"/>
    <w:rsid w:val="00965BE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65BE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965BEF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65BE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65BE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65BE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1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1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Золото и благородные металлы всегда манили к себе человека</vt:lpstr>
    </vt:vector>
  </TitlesOfParts>
  <Company>Diapsalmata</Company>
  <LinksUpToDate>false</LinksUpToDate>
  <CharactersWithSpaces>22543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Золото и благородные металлы всегда манили к себе человека</dc:title>
  <dc:subject/>
  <dc:creator>mari</dc:creator>
  <cp:keywords/>
  <dc:description/>
  <cp:lastModifiedBy>admin</cp:lastModifiedBy>
  <cp:revision>2</cp:revision>
  <dcterms:created xsi:type="dcterms:W3CDTF">2014-03-13T15:17:00Z</dcterms:created>
  <dcterms:modified xsi:type="dcterms:W3CDTF">2014-03-13T15:17:00Z</dcterms:modified>
</cp:coreProperties>
</file>