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BA" w:rsidRDefault="00596B5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Анализ отрасли</w:t>
      </w: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4183"/>
        <w:gridCol w:w="2552"/>
      </w:tblGrid>
      <w:tr w:rsidR="00C818BA">
        <w:tc>
          <w:tcPr>
            <w:tcW w:w="3296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рыночной структуры</w:t>
            </w:r>
          </w:p>
        </w:tc>
        <w:tc>
          <w:tcPr>
            <w:tcW w:w="4183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Рыночное поведение</w:t>
            </w:r>
          </w:p>
        </w:tc>
        <w:tc>
          <w:tcPr>
            <w:tcW w:w="2552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Результативность отрасли</w:t>
            </w:r>
          </w:p>
        </w:tc>
      </w:tr>
      <w:tr w:rsidR="00C818BA">
        <w:trPr>
          <w:cantSplit/>
        </w:trPr>
        <w:tc>
          <w:tcPr>
            <w:tcW w:w="3296" w:type="dxa"/>
          </w:tcPr>
          <w:p w:rsidR="00C818BA" w:rsidRDefault="00B57A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x;z-index:251659776;mso-position-horizontal-relative:text;mso-position-vertical-relative:text" from="389.7pt,65.3pt" to="418.5pt,79.7pt" o:allowincell="f"/>
              </w:pict>
            </w:r>
            <w:r>
              <w:rPr>
                <w:noProof/>
              </w:rPr>
              <w:pict>
                <v:line id="_x0000_s1027" style="position:absolute;left:0;text-align:left;flip:x;z-index:251658752;mso-position-horizontal-relative:text;mso-position-vertical-relative:text" from="389.7pt,58.1pt" to="411.3pt,72.5pt" o:allowincell="f"/>
              </w:pict>
            </w:r>
            <w:r>
              <w:rPr>
                <w:noProof/>
              </w:rPr>
              <w:pict>
                <v:line id="_x0000_s1028" style="position:absolute;left:0;text-align:left;flip:x;z-index:251657728;mso-position-horizontal-relative:text;mso-position-vertical-relative:text" from="389.7pt,50.9pt" to="404.1pt,58.1pt" o:allowincell="f"/>
              </w:pict>
            </w:r>
            <w:r>
              <w:rPr>
                <w:noProof/>
              </w:rPr>
              <w:pict>
                <v:line id="_x0000_s1029" style="position:absolute;left:0;text-align:left;z-index:251656704;mso-position-horizontal-relative:text;mso-position-vertical-relative:text" from="389.7pt,65.3pt" to="418.5pt,65.3pt" o:allowincell="f" strokeweight="3pt"/>
              </w:pict>
            </w:r>
            <w:r>
              <w:rPr>
                <w:noProof/>
              </w:rPr>
              <w:pict>
                <v:line id="_x0000_s1030" style="position:absolute;left:0;text-align:left;flip:x;z-index:251655680;mso-position-horizontal-relative:text;mso-position-vertical-relative:text" from="389.7pt,36.5pt" to="461.7pt,86.9pt" o:allowincell="f"/>
              </w:pict>
            </w:r>
            <w:r>
              <w:rPr>
                <w:noProof/>
              </w:rPr>
              <w:pict>
                <v:line id="_x0000_s1031" style="position:absolute;left:0;text-align:left;z-index:251654656;mso-position-horizontal-relative:text;mso-position-vertical-relative:text" from="389.7pt,43.7pt" to="454.5pt,86.9pt" o:allowincell="f"/>
              </w:pict>
            </w:r>
            <w:r>
              <w:rPr>
                <w:noProof/>
              </w:rPr>
              <w:pict>
                <v:line id="_x0000_s1032" style="position:absolute;left:0;text-align:left;z-index:251653632;mso-position-horizontal-relative:text;mso-position-vertical-relative:text" from="389.7pt,86.9pt" to="476.1pt,86.9pt" o:allowincell="f"/>
              </w:pict>
            </w:r>
            <w:r>
              <w:rPr>
                <w:noProof/>
              </w:rPr>
              <w:pict>
                <v:line id="_x0000_s1033" style="position:absolute;left:0;text-align:left;z-index:251652608;mso-position-horizontal-relative:text;mso-position-vertical-relative:text" from="389.7pt,22.1pt" to="389.7pt,86.9pt" o:allowincell="f"/>
              </w:pict>
            </w:r>
            <w:r w:rsidR="00596B5F">
              <w:rPr>
                <w:color w:val="000000"/>
                <w:sz w:val="24"/>
                <w:szCs w:val="24"/>
              </w:rPr>
              <w:t>Концентрация в отрасли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С4 = w1+ w2 + w3 + w4 , где 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 = Si / Stotal 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 – доля фирмы на рынке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показывает удельный вес 4-х самых крупных фирм в отрасли, лежит в пределах от 0 до 1. Причем если он лежит в пределах (0;1/2), то это скорее всего рынок монополистической конкуренции. Если (1/2;1) – то это олигополия. Если С =1, то рынок является чистой монополией.</w:t>
            </w:r>
          </w:p>
        </w:tc>
        <w:tc>
          <w:tcPr>
            <w:tcW w:w="4183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 = </w:t>
            </w:r>
            <w:r>
              <w:rPr>
                <w:color w:val="000000"/>
                <w:sz w:val="24"/>
                <w:szCs w:val="24"/>
              </w:rPr>
              <w:object w:dxaOrig="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0.75pt" o:ole="">
                  <v:imagedata r:id="rId5" o:title=""/>
                </v:shape>
                <o:OLEObject Type="Embed" ProgID="Equation.3" ShapeID="_x0000_i1025" DrawAspect="Content" ObjectID="_1454291218" r:id="rId6"/>
              </w:object>
            </w:r>
            <w:r>
              <w:rPr>
                <w:color w:val="000000"/>
                <w:sz w:val="24"/>
                <w:szCs w:val="24"/>
              </w:rPr>
              <w:t>; 0&lt; L &lt; 1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Mark up factor:                         P = </w:t>
            </w:r>
            <w:r>
              <w:rPr>
                <w:color w:val="000000"/>
                <w:sz w:val="24"/>
                <w:szCs w:val="24"/>
              </w:rPr>
              <w:object w:dxaOrig="1160" w:dyaOrig="680">
                <v:shape id="_x0000_i1026" type="#_x0000_t75" style="width:57.75pt;height:33.75pt" o:ole="">
                  <v:imagedata r:id="rId7" o:title=""/>
                </v:shape>
                <o:OLEObject Type="Embed" ProgID="Equation.3" ShapeID="_x0000_i1026" DrawAspect="Content" ObjectID="_1454291219" r:id="rId8"/>
              </w:object>
            </w:r>
            <w:r>
              <w:rPr>
                <w:color w:val="000000"/>
                <w:sz w:val="24"/>
                <w:szCs w:val="24"/>
              </w:rPr>
              <w:t xml:space="preserve"> показывает во сколько раз маржинальные затраты превышают цену</w:t>
            </w:r>
          </w:p>
        </w:tc>
        <w:tc>
          <w:tcPr>
            <w:tcW w:w="2552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Денсби-Ниллиг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DWI = </w:t>
            </w:r>
            <w:r>
              <w:rPr>
                <w:color w:val="000000"/>
                <w:sz w:val="24"/>
                <w:szCs w:val="24"/>
              </w:rPr>
              <w:object w:dxaOrig="580" w:dyaOrig="660">
                <v:shape id="_x0000_i1027" type="#_x0000_t75" style="width:29.25pt;height:33pt" o:ole="">
                  <v:imagedata r:id="rId9" o:title=""/>
                </v:shape>
                <o:OLEObject Type="Embed" ProgID="Equation.3" ShapeID="_x0000_i1027" DrawAspect="Content" ObjectID="_1454291220" r:id="rId10"/>
              </w:objec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&lt; DWI &lt; 1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Показывает, как изменяется благосостояние в соответствии с изменением объема продаж</w:t>
            </w:r>
          </w:p>
        </w:tc>
      </w:tr>
      <w:tr w:rsidR="00C818BA">
        <w:trPr>
          <w:cantSplit/>
        </w:trPr>
        <w:tc>
          <w:tcPr>
            <w:tcW w:w="3296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Херфиндаля Хиршмана. Показывает накал конкурентной борьбы.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HHI = 10000</w:t>
            </w:r>
            <w:r>
              <w:rPr>
                <w:color w:val="000000"/>
                <w:sz w:val="24"/>
                <w:szCs w:val="24"/>
                <w:lang w:val="en-US"/>
              </w:rPr>
              <w:object w:dxaOrig="700" w:dyaOrig="680">
                <v:shape id="_x0000_i1028" type="#_x0000_t75" style="width:35.25pt;height:33.75pt" o:ole="">
                  <v:imagedata r:id="rId11" o:title=""/>
                </v:shape>
                <o:OLEObject Type="Embed" ProgID="Equation.3" ShapeID="_x0000_i1028" DrawAspect="Content" ObjectID="_1454291221" r:id="rId12"/>
              </w:objec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Wi = Si / Stotal 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 – доля фирмы на рынке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&lt; HHI &lt;10000, чем HHI больше тем больше накал борьбы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960" w:dyaOrig="1760">
                <v:shape id="_x0000_i1029" type="#_x0000_t75" style="width:48pt;height:87.75pt" o:ole="">
                  <v:imagedata r:id="rId13" o:title=""/>
                </v:shape>
                <o:OLEObject Type="Embed" ProgID="Equation.3" ShapeID="_x0000_i1029" DrawAspect="Content" ObjectID="_1454291222" r:id="rId14"/>
              </w:objec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Показывает в том числе динамику затрат; на сколько фирма способна конкурировать</w:t>
            </w:r>
          </w:p>
        </w:tc>
        <w:tc>
          <w:tcPr>
            <w:tcW w:w="2552" w:type="dxa"/>
          </w:tcPr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18BA">
        <w:trPr>
          <w:cantSplit/>
          <w:trHeight w:val="5418"/>
        </w:trPr>
        <w:tc>
          <w:tcPr>
            <w:tcW w:w="3296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 Индекс Ротшильда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 = эластичность спроса по                    цене рыночная : эластичность  спроса по    цене фирмы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&lt; RI &lt; 1 Чем ближе к 0, тем больше у товара субститутов, чем ближе к 1, тем более монопольный рынок</w:t>
            </w:r>
          </w:p>
        </w:tc>
        <w:tc>
          <w:tcPr>
            <w:tcW w:w="4183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80" w:dyaOrig="340">
                <v:shape id="_x0000_i1030" type="#_x0000_t75" style="width:9pt;height:17.25pt" o:ole="">
                  <v:imagedata r:id="rId15" o:title=""/>
                </v:shape>
                <o:OLEObject Type="Embed" ProgID="Equation.3" ShapeID="_x0000_i1030" DrawAspect="Content" ObjectID="_1454291223" r:id="rId16"/>
              </w:object>
            </w:r>
            <w:r>
              <w:rPr>
                <w:color w:val="000000"/>
                <w:sz w:val="24"/>
                <w:szCs w:val="24"/>
              </w:rPr>
              <w:t xml:space="preserve">3. 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980" w:dyaOrig="1400">
                <v:shape id="_x0000_i1031" type="#_x0000_t75" style="width:48.75pt;height:69.75pt" o:ole="">
                  <v:imagedata r:id="rId17" o:title=""/>
                </v:shape>
                <o:OLEObject Type="Embed" ProgID="Equation.3" ShapeID="_x0000_i1031" DrawAspect="Content" ObjectID="_1454291224" r:id="rId18"/>
              </w:objec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Также показывает динамику затрат (на рекламу).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смысл также рассчитать прямую и перекрестную эластичности рекламы: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660" w:dyaOrig="660">
                <v:shape id="_x0000_i1032" type="#_x0000_t75" style="width:83.25pt;height:33pt" o:ole="">
                  <v:imagedata r:id="rId19" o:title=""/>
                </v:shape>
                <o:OLEObject Type="Embed" ProgID="Equation.3" ShapeID="_x0000_i1032" DrawAspect="Content" ObjectID="_1454291225" r:id="rId20"/>
              </w:objec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680" w:dyaOrig="660">
                <v:shape id="_x0000_i1033" type="#_x0000_t75" style="width:84pt;height:33pt" o:ole="">
                  <v:imagedata r:id="rId21" o:title=""/>
                </v:shape>
                <o:OLEObject Type="Embed" ProgID="Equation.3" ShapeID="_x0000_i1033" DrawAspect="Content" ObjectID="_1454291226" r:id="rId22"/>
              </w:object>
            </w:r>
            <w:r>
              <w:rPr>
                <w:color w:val="000000"/>
                <w:sz w:val="24"/>
                <w:szCs w:val="24"/>
              </w:rPr>
              <w:t>, где А – затраты на рекламу, D – предъявляемый спрос, х и у - товары</w:t>
            </w:r>
          </w:p>
        </w:tc>
        <w:tc>
          <w:tcPr>
            <w:tcW w:w="2552" w:type="dxa"/>
          </w:tcPr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знак “&lt;” означает обратную зависимость между переменными: при росте одной, вторая уменьшается. И наоборот, “&gt;” означает положительную зависимость</w:t>
      </w: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804"/>
      </w:tblGrid>
      <w:tr w:rsidR="00C818BA">
        <w:tc>
          <w:tcPr>
            <w:tcW w:w="3510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6804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Вывод</w:t>
            </w:r>
          </w:p>
        </w:tc>
      </w:tr>
      <w:tr w:rsidR="00C818BA">
        <w:tc>
          <w:tcPr>
            <w:tcW w:w="3510" w:type="dxa"/>
          </w:tcPr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концентрации   в отрасли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роста отрасли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Дифференциация продукта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торговой марки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5.Издержки переключения (потребителей с одного товара на другой)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Барьеры для выхода из отрасли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Барьеры для входа в отрасль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Экономия от масштаба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Стоимость капитала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Эффект опыта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Доступ к новейшим  технологиям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Покупаемые материалы и сырье занимают значительный удельный вес в с/с продукции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Конкуренция среди покупателей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Интеграция вперед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Потеря крупного покупателя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Низкие издержки переключения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Интеграция розничных торговцев назад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Субституты</w:t>
            </w:r>
          </w:p>
        </w:tc>
        <w:tc>
          <w:tcPr>
            <w:tcW w:w="6804" w:type="dxa"/>
          </w:tcPr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2840" w:dyaOrig="660">
                <v:shape id="_x0000_i1034" type="#_x0000_t75" style="width:141.75pt;height:33pt" o:ole="">
                  <v:imagedata r:id="rId23" o:title=""/>
                </v:shape>
                <o:OLEObject Type="Embed" ProgID="Equation.3" ShapeID="_x0000_i1034" DrawAspect="Content" ObjectID="_1454291227" r:id="rId24"/>
              </w:object>
            </w:r>
            <w:r>
              <w:rPr>
                <w:color w:val="000000"/>
                <w:sz w:val="24"/>
                <w:szCs w:val="24"/>
              </w:rPr>
              <w:t xml:space="preserve">  Чем больше власть нескольких крупных фирм в отрасли, тем  меньше накал борьбы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780" w:dyaOrig="1040">
                <v:shape id="_x0000_i1035" type="#_x0000_t75" style="width:89.25pt;height:51.75pt" o:ole="">
                  <v:imagedata r:id="rId25" o:title=""/>
                </v:shape>
                <o:OLEObject Type="Embed" ProgID="Equation.3" ShapeID="_x0000_i1035" DrawAspect="Content" ObjectID="_1454291228" r:id="rId26"/>
              </w:object>
            </w:r>
            <w:r>
              <w:rPr>
                <w:color w:val="000000"/>
                <w:sz w:val="24"/>
                <w:szCs w:val="24"/>
              </w:rPr>
              <w:t xml:space="preserve">        Аналогично п.1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2100" w:dyaOrig="1040">
                <v:shape id="_x0000_i1036" type="#_x0000_t75" style="width:105pt;height:51.75pt" o:ole="">
                  <v:imagedata r:id="rId27" o:title=""/>
                </v:shape>
                <o:OLEObject Type="Embed" ProgID="Equation.3" ShapeID="_x0000_i1036" DrawAspect="Content" ObjectID="_1454291229" r:id="rId28"/>
              </w:objec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2160" w:dyaOrig="660">
                <v:shape id="_x0000_i1037" type="#_x0000_t75" style="width:108pt;height:33pt" o:ole="">
                  <v:imagedata r:id="rId29" o:title=""/>
                </v:shape>
                <o:OLEObject Type="Embed" ProgID="Equation.3" ShapeID="_x0000_i1037" DrawAspect="Content" ObjectID="_1454291230" r:id="rId30"/>
              </w:objec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2980" w:dyaOrig="680">
                <v:shape id="_x0000_i1038" type="#_x0000_t75" style="width:149.25pt;height:33.75pt" o:ole="">
                  <v:imagedata r:id="rId31" o:title=""/>
                </v:shape>
                <o:OLEObject Type="Embed" ProgID="Equation.3" ShapeID="_x0000_i1038" DrawAspect="Content" ObjectID="_1454291231" r:id="rId32"/>
              </w:objec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неоднозначное влияние: с одной стороны наличие барьеров отпугивает часть фирм, но при этом другой их части, уже вошедшей на рынок труднее покинуть данную отрасль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Выделяются к примеру эмоциональные, стратегические,  гос. Барьеры, барьеры издержек и т.п.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620" w:dyaOrig="680">
                <v:shape id="_x0000_i1039" type="#_x0000_t75" style="width:81pt;height:33.75pt" o:ole="">
                  <v:imagedata r:id="rId33" o:title=""/>
                </v:shape>
                <o:OLEObject Type="Embed" ProgID="Equation.3" ShapeID="_x0000_i1039" DrawAspect="Content" ObjectID="_1454291232" r:id="rId34"/>
              </w:object>
            </w:r>
            <w:r>
              <w:rPr>
                <w:color w:val="000000"/>
                <w:sz w:val="24"/>
                <w:szCs w:val="24"/>
              </w:rPr>
              <w:t xml:space="preserve">    Чем больше фирм входит в отрасль, тем больше предложение и конкурентная борьба. Соответственно барьеры сдерживают увеличение предложения.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3100" w:dyaOrig="680">
                <v:shape id="_x0000_i1040" type="#_x0000_t75" style="width:155.25pt;height:33.75pt" o:ole="">
                  <v:imagedata r:id="rId35" o:title=""/>
                </v:shape>
                <o:OLEObject Type="Embed" ProgID="Equation.3" ShapeID="_x0000_i1040" DrawAspect="Content" ObjectID="_1454291233" r:id="rId36"/>
              </w:object>
            </w:r>
            <w:r>
              <w:rPr>
                <w:color w:val="000000"/>
                <w:sz w:val="24"/>
                <w:szCs w:val="24"/>
              </w:rPr>
              <w:t xml:space="preserve">      С одной стороны, падают АС         при увеличении производства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этом нельзя забывать и о проблемах: проблема затоваривания для крупных предприятий</w:t>
            </w: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Проблема большого веса постоянных издержек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2580" w:dyaOrig="680">
                <v:shape id="_x0000_i1041" type="#_x0000_t75" style="width:129pt;height:33.75pt" o:ole="">
                  <v:imagedata r:id="rId37" o:title=""/>
                </v:shape>
                <o:OLEObject Type="Embed" ProgID="Equation.3" ShapeID="_x0000_i1041" DrawAspect="Content" ObjectID="_1454291234" r:id="rId38"/>
              </w:objec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2079" w:dyaOrig="680">
                <v:shape id="_x0000_i1042" type="#_x0000_t75" style="width:104.25pt;height:33.75pt" o:ole="">
                  <v:imagedata r:id="rId39" o:title=""/>
                </v:shape>
                <o:OLEObject Type="Embed" ProgID="Equation.3" ShapeID="_x0000_i1042" DrawAspect="Content" ObjectID="_1454291235" r:id="rId40"/>
              </w:objec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1620" w:dyaOrig="680">
                <v:shape id="_x0000_i1043" type="#_x0000_t75" style="width:81pt;height:33.75pt" o:ole="">
                  <v:imagedata r:id="rId41" o:title=""/>
                </v:shape>
                <o:OLEObject Type="Embed" ProgID="Equation.3" ShapeID="_x0000_i1043" DrawAspect="Content" ObjectID="_1454291236" r:id="rId42"/>
              </w:objec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Примечание: Не рассматриваются вертикально       интегрированные структуры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Фирма рассматривается в качестве покупателя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росте цен на сырье и материалы увеличиваются издержки (к примеру трансакционные при смене поставщиков), за счет этого снижается прибыль, а следовательно конкурентоспособность.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Аналогично: цены на сырье увеличиваются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трансакционных  затрат, следовательно прибыль снижается.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Фирма выступает в качестве продавца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Падение прибыли ведет к потери конкурентоспособности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</w:t>
            </w: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C818B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818BA" w:rsidRDefault="00596B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Действуют издержки переключения, след. Если цена товара увеличивается,   </w:t>
            </w:r>
            <w:r>
              <w:rPr>
                <w:color w:val="000000"/>
                <w:sz w:val="24"/>
                <w:szCs w:val="24"/>
              </w:rPr>
              <w:object w:dxaOrig="499" w:dyaOrig="440">
                <v:shape id="_x0000_i1044" type="#_x0000_t75" style="width:24.75pt;height:21.75pt" o:ole="">
                  <v:imagedata r:id="rId43" o:title=""/>
                </v:shape>
                <o:OLEObject Type="Embed" ProgID="Equation.3" ShapeID="_x0000_i1044" DrawAspect="Content" ObjectID="_1454291237" r:id="rId44"/>
              </w:object>
            </w:r>
            <w:r>
              <w:rPr>
                <w:color w:val="000000"/>
                <w:sz w:val="24"/>
                <w:szCs w:val="24"/>
              </w:rPr>
              <w:t xml:space="preserve"> &gt; 1, то выручка снижается, снижается прибыль, а значит и конкурентоспособность</w:t>
            </w:r>
          </w:p>
        </w:tc>
      </w:tr>
    </w:tbl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Фирме необходимо провести анализ отрасли по представленным выше показателям чтобы охарактеризовать привлекательность отрасли.  Для этого нужно оценить значимость факторов и  положение фирмы относительно данных факторов (например, по 5-ти бальной системе)</w:t>
      </w:r>
    </w:p>
    <w:p w:rsidR="00C818BA" w:rsidRDefault="00596B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Обобщенная матричная оценка привлекательности отрасли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создания полной картины фирме помимо пофакторного анализа провести дополнительного  анализа возможностей и угроз.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Возможности: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Влияние на организацию</w:t>
      </w:r>
    </w:p>
    <w:tbl>
      <w:tblPr>
        <w:tblW w:w="0" w:type="auto"/>
        <w:tblInd w:w="1268" w:type="dxa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1400"/>
      </w:tblGrid>
      <w:tr w:rsidR="00C818BA"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B57A3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rect id="_x0000_s1034" style="position:absolute;left:0;text-align:left;margin-left:-35.4pt;margin-top:1.95pt;width:93.6pt;height:1in;z-index:251660800" o:allowincell="f" strokecolor="white">
                  <v:textbox inset="0,0,0,0">
                    <w:txbxContent>
                      <w:p w:rsidR="00C818BA" w:rsidRDefault="00596B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Вероятность</w:t>
                        </w:r>
                      </w:p>
                      <w:p w:rsidR="00C818BA" w:rsidRDefault="00596B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Осуществления</w:t>
                        </w:r>
                      </w:p>
                      <w:p w:rsidR="00C818BA" w:rsidRDefault="00596B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возможности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light</w:t>
            </w:r>
          </w:p>
        </w:tc>
      </w:tr>
      <w:tr w:rsidR="00C818BA">
        <w:trPr>
          <w:cantSplit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818BA">
        <w:trPr>
          <w:cantSplit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818BA">
        <w:trPr>
          <w:cantSplit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light</w:t>
            </w: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Фирма  относит свое положение к одному из 9 случаев. При этом значимыми для рассмотрения остаются возможности, расположенные в  1и 2 сегментах.</w:t>
      </w: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Угрозы:</w:t>
      </w: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C818BA"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Разрушение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Критическое состояние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Тяжелое состояние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Легкие ушибы</w:t>
            </w:r>
          </w:p>
        </w:tc>
      </w:tr>
      <w:tr w:rsidR="00C818BA"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high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818BA"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818BA"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light</w:t>
            </w:r>
          </w:p>
        </w:tc>
        <w:tc>
          <w:tcPr>
            <w:tcW w:w="1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фирмы интересны 3 и 4 сегменты (очень редко 2)</w:t>
      </w:r>
    </w:p>
    <w:p w:rsidR="00C818BA" w:rsidRDefault="00596B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Конкурентное преимущество и широта цели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 давайте выделим некоторые факторы  внешнего порядка, усиливающие конкурентные преимущества: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Фактор спроса: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ab/>
        <w:t>Национальные пристрастия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  <w:t>Темпы роста спроса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  <w:t>Скорость насыщения рынка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>
        <w:rPr>
          <w:color w:val="000000"/>
          <w:sz w:val="24"/>
          <w:szCs w:val="24"/>
        </w:rPr>
        <w:tab/>
        <w:t>Эффект демонстрации ( имидж в национальных рамках может стать международным достоянием)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Состояние родственных и поддерживающих отраслей, где поддерживающие отрасли – это поставщики, родственные – совместно с которыми можно организовывать деятельность (или, к примеру, несколько звеньев цепочки ценностей Портера)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 конкурентные преимущества фирмы основаны на преимуществах в затратах и дифференциации (когда ее продукция выделяется за счет своих свойств).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выделяют 5 конкурентных стратегий в зависимости от преимуществ фирмы и широты цели. В данном случае под широтой цели понимается размер сегмента, с которым работает фирма: узкий или широкий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Тип конкурентного преимущества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C818BA">
        <w:trPr>
          <w:jc w:val="center"/>
        </w:trPr>
        <w:tc>
          <w:tcPr>
            <w:tcW w:w="3284" w:type="dxa"/>
          </w:tcPr>
          <w:p w:rsidR="00C818BA" w:rsidRDefault="00C818B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Низкие затраты</w:t>
            </w:r>
          </w:p>
        </w:tc>
        <w:tc>
          <w:tcPr>
            <w:tcW w:w="3284" w:type="dxa"/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Дифференциация</w:t>
            </w:r>
          </w:p>
        </w:tc>
      </w:tr>
      <w:tr w:rsidR="00C818BA">
        <w:trPr>
          <w:jc w:val="center"/>
        </w:trPr>
        <w:tc>
          <w:tcPr>
            <w:tcW w:w="3284" w:type="dxa"/>
          </w:tcPr>
          <w:p w:rsidR="00C818BA" w:rsidRDefault="00B57A3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oval id="_x0000_s1035" style="position:absolute;left:0;text-align:left;margin-left:303pt;margin-top:0;width:36pt;height:36pt;z-index:251661824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36" style="position:absolute;left:0;text-align:left;margin-left:310.2pt;margin-top:7.2pt;width:21.6pt;height:21.6pt;z-index:251662848;mso-position-horizontal-relative:text;mso-position-vertical-relative:text" o:allowincell="f" strokecolor="white">
                  <v:textbox inset="0,0,0,0">
                    <w:txbxContent>
                      <w:p w:rsidR="00C818BA" w:rsidRDefault="00596B5F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596B5F">
              <w:rPr>
                <w:color w:val="000000"/>
                <w:sz w:val="24"/>
                <w:szCs w:val="24"/>
              </w:rPr>
              <w:t>Широкая цель</w:t>
            </w:r>
          </w:p>
        </w:tc>
        <w:tc>
          <w:tcPr>
            <w:tcW w:w="3284" w:type="dxa"/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818BA">
        <w:trPr>
          <w:jc w:val="center"/>
        </w:trPr>
        <w:tc>
          <w:tcPr>
            <w:tcW w:w="3284" w:type="dxa"/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Узкая цель</w:t>
            </w:r>
          </w:p>
        </w:tc>
        <w:tc>
          <w:tcPr>
            <w:tcW w:w="3284" w:type="dxa"/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C818BA" w:rsidRDefault="00596B5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Пересечение типа конкурентного преимущества и вида цели дает представление о типовых конкурентных стратегиях: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низких затрат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массовой (широкой) дифференциации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Сфокусированная стратегия низких затрат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Сфокусированная стратегия дифференциации</w:t>
      </w:r>
    </w:p>
    <w:p w:rsidR="00C818BA" w:rsidRDefault="00596B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оптимальных затрат</w:t>
      </w:r>
    </w:p>
    <w:p w:rsidR="00C818BA" w:rsidRDefault="00C818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818B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0629"/>
    <w:multiLevelType w:val="singleLevel"/>
    <w:tmpl w:val="6A189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BCB0005"/>
    <w:multiLevelType w:val="singleLevel"/>
    <w:tmpl w:val="6A189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162609C"/>
    <w:multiLevelType w:val="singleLevel"/>
    <w:tmpl w:val="6A189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4F73E1B"/>
    <w:multiLevelType w:val="singleLevel"/>
    <w:tmpl w:val="6A189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7D7642C"/>
    <w:multiLevelType w:val="singleLevel"/>
    <w:tmpl w:val="6A189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F6D79C3"/>
    <w:multiLevelType w:val="singleLevel"/>
    <w:tmpl w:val="6A189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4C0100ED"/>
    <w:multiLevelType w:val="singleLevel"/>
    <w:tmpl w:val="6E145C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sz w:val="28"/>
        <w:szCs w:val="28"/>
      </w:rPr>
    </w:lvl>
  </w:abstractNum>
  <w:abstractNum w:abstractNumId="7">
    <w:nsid w:val="54336DAE"/>
    <w:multiLevelType w:val="singleLevel"/>
    <w:tmpl w:val="6A189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54DE178F"/>
    <w:multiLevelType w:val="singleLevel"/>
    <w:tmpl w:val="6A189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B5F"/>
    <w:rsid w:val="00596B5F"/>
    <w:rsid w:val="00B57A31"/>
    <w:rsid w:val="00C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5C61392E-96A8-436F-AAB0-F4DD6C9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5444</Characters>
  <Application>Microsoft Office Word</Application>
  <DocSecurity>0</DocSecurity>
  <Lines>45</Lines>
  <Paragraphs>12</Paragraphs>
  <ScaleCrop>false</ScaleCrop>
  <Company> 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отрасли</dc:title>
  <dc:subject/>
  <dc:creator>Home PC</dc:creator>
  <cp:keywords/>
  <dc:description/>
  <cp:lastModifiedBy>admin</cp:lastModifiedBy>
  <cp:revision>2</cp:revision>
  <dcterms:created xsi:type="dcterms:W3CDTF">2014-02-19T03:00:00Z</dcterms:created>
  <dcterms:modified xsi:type="dcterms:W3CDTF">2014-02-19T03:00:00Z</dcterms:modified>
</cp:coreProperties>
</file>