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B1" w:rsidRPr="00D52D3D" w:rsidRDefault="004929B1" w:rsidP="004929B1">
      <w:pPr>
        <w:spacing w:before="120"/>
        <w:jc w:val="center"/>
        <w:rPr>
          <w:b/>
          <w:bCs/>
          <w:sz w:val="32"/>
          <w:szCs w:val="32"/>
        </w:rPr>
      </w:pPr>
      <w:r w:rsidRPr="00D52D3D">
        <w:rPr>
          <w:b/>
          <w:bCs/>
          <w:sz w:val="32"/>
          <w:szCs w:val="32"/>
        </w:rPr>
        <w:t>Конвенция о вручении за границей судебных и внесудебных документов по гражданским или торговым делам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(Гаага, 15 ноября 1965 г.)</w:t>
      </w:r>
      <w:r>
        <w:t xml:space="preserve"> 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Государства - подписавшие настоящую Конвенцию,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Желая создать условия для того, чтобы судебные или внесудебные документы, которые должны быть вручены или доведены до сведения за рубежом, достигли адресата в оптимальное время, Заботясь об улучшении для этого судебной взаимопомощи путем упрощения и ускорения процедур,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решили заключить в этих целях Конвенцию и согласились о нижеследующем: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первая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Настоящая Конвенция применима к гражданским или коммерческим делам во всех случаях, когда судебный или внесудебный документ должен быть направлен за рубеж для вручения или для уведомления о нем.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Конвенция не применяется, когда адрес получателя документа неизвестен.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Глава I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Судебные документы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2.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Каждое договаривающееся Государство назначает Центральный компетентный орган, который несет ответственность в соответствии со статьями 3 и 6 за прием запросов о вручении или уведомлении, поступающих из других Государств-участников Конвенции, и дает им дальнейший ход.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Центральный компетентный орган организуется в соответствии с правилами, предусмотренными запрашиваемым Государством.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3.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Этот орган или должностное лицо органа юстиции, в соответствии с законами своего Государства, обращается к Центральному компетентному органу запрашиваемого Государства с запросом, составленным в соответствии с образцами, прилагаемыми к настоящей Конвенции; без легализации документов и без других равнозначных процедур.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К запросу должен быть приложен документ судебного органа или его копия: каждый документ в двух экземплярах.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4.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Если Центральный орган считает, что положения Конвенции не соблюдены, он немедленно сообщает об этом запрашивающего, уточняя по пунктам те моменты, которые противоречат запросу.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5.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Центральный компетентный орган запрашиваемого Государства осуществляет или организует осуществление вручения или уведомления о документе: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а. Либо в формах, предписанных законодательством запрашиваемого Государства относительно вручения и уведомления о принятых в этом Государстве актах, и которые направляются лицам, находящимся на его территории.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б. Либо с особой форме, требуемой заявителем, коль скоро она не противоречит законам запрашиваемого Государства.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За исключением случая, предусмотренного в предыдущем абзаце под знаком "б", документ может всегда быть передан адресату, который принимает его добровольно.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Если акт должен быть вручен или уведомление о нем должно быть совершено в соответствии с первым абзацем, Центральный компетентный орган может запросить, чтобы документ был составлен или переведен на язык или один из официальных языков своей страны.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Часть запроса, сформулированная по модели, прилагаемой к настоящей Конвенции, содержащая основные положения документа, передается адресату.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6.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Центральный компетентный орган запрашиваемого Государства или любая другая власть, которая может быть назначена на этот случай, составляет подтверждение в соответствии с формой, прилагаемой к настоящей Конвенции.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Подтверждение касается исполнения запроса: оно указывает форму, место и дату исполнения, а также лицо, которому был вручен документ. В необходимых случаях в ней указываются обстоятельства, которые помешали бы исполнению.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Запрашивающая сторона может потребовать, чтобы подтверждение, которое составлено не Центральным компетентным органом или не судебной властью, было завизировано одной из этих властей.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Подтверждение адресуется прямо заявителю.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7.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Указанные бланки, напечатанные по образцам, приложенным к настоящей Конвенции, должны в обязательном порядке быть на французском или английском языке. Сверх того они могут быть на официальном или одном из официальных языков Государства-составителя.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Такие бланки заполняются либо на языке запрашиваемого Государства, либо на французском или английском языке.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8.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Каждое Государство-участник полномочно непосредственно и добровольно проводить через своих дипломатических и консульских представителей вручение судебных документов или уведомление о них лицам, находящимся за рубежом.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Любое государство может заявить о противодействии использованию этого полномочия на своей территории, кроме случаев, когда документ должен быть вручен гражданину страны-заявителя, или когда он должен быть уведомлен об этом документе.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9.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Каждое Государство-участник имеет, более того, право использовать консульские каналы для передачи в целях вручения судебных документов или уведомления о них тех органов другого Государства-участника, которые это Государство назначит.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В случае возникновения исключительных обстоятельств каждое Государство-участник имеет право использовать в тех же целях дипломатический канал.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10.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За исключением случая, когда запрашиваемое Государство объявит о своих возражениях, настоящая Конвенция не является препятствием: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а) праву адресовать судебные документы непосредственно по почте лицам, находящимся за рубежом;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б) праву, должностного лица органа юстиции, чиновников или других компетентных лиц Государства-составителя организовать вручение судебных документов или уведомление о них непосредственно самими должностными лицами органа юстиции, чиновниками или другими компетентными лицами запрашиваемого Государства;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в) праву любого заинтересованного лица судебной инстанции организовать вручение судебного документа или уведомление о нем непосредственно должностными лицами органов юстиции, чиновниками или другими компетентными лицами запрашиваемого Государства.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11.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Настоящая Конвенция не препятствует тому, чтобы Государства-участники договорились о признании в целях передачи судебных документов или уведомления о них иных путей передачи, чем предусмотренные в предыдущих статьях, и особенно, прямых связей между их соответствующими органами.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12.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Вручение судебных документов (или уведомление о них), исходящих от одного Государства-участника, не может давать места платежам, возмещению издержек или расходов для служб запрашиваемого Государства.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Заявитель обязан оплатить или возместить расходы, вызванные: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а. посредничеством должностного лица или органа юстиции или компетентного лица в соответствии с законом запрашиваемого Государства;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б. использованием одной из особых форм вручения или уведомления.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13.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В исполнении запроса о вручении или уведомлении, соответствующего положениям настоящей Конвенции, не может быть отказано, как только в случае, если запрашиваемое Государство решит, что по своей сути это исполнение затрагивает его суверенитет или безопасность.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В исполнении не может быть отказано только по мотиву, что закон запрашиваемого Государства требует компетенции чрезвычайного суда по рассматриваемому делу или не имеется правового пути, отвечающего объекту запроса.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В случае отказа Центральный компетентный орган информирует о нем немедленно заявителя и указывает мотивы отказа.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14.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Трудности, возникающие в процессе передачи судебных документов в целях их вручения или уведомления о них, будут разрешаться по дипломатическим каналам.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15.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Когда исковое заявление или эквивалентный ему документ должны быть направлены за рубеж в целях их вручения или уведомления о них в соответствии с положениями настоящей Конвенции, и когда ответчик не явился, судья обязан отложить вынесение решения до тех пор, пока не будет установлено: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а. или что документ вручен или сделано уведомление в соответствии с формами, предписанными законодательством запрашиваемого Государства для вручения документов, составленных в этом государстве, или уведомлении о них лиц, находящихся на его территории;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б. или что документ действительно доставлен ответчику или по месту его жительства в соответствии с другой процедурой, предусмотренной настоящей Конвенцией,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и когда при каждой из этих возможностей имели место либо вручение или уведомление, либо передача в такой период времени, когда ответчик имеет время для защиты.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Каждое Государство-участник правомочно заявить, что его судьи, невзирая на положения первого абзаца, могут принимать решение, хотя нет подтверждения ни вручения, ни уведомления, ни передачи документа, если налицо комплекс нижеследующих условий: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а. акт направлен одним из способов, предусмотренных настоящей Конвенцией.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б. срок, который будет определять судья в каждом особом случае, и который должен быть по крайней мере шесть месяцев, начинается с даты отправления документа.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в. несмотря на позитивные усилия компетентных властей Государства-ответчика, невозможно было получить какое-либо подтверждение.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Настоящая статья не создает препятствий тому, чтобы в неотложных случаях судья принимал все временные или охранительные меры.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16.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Когда исковое заявление или эквивалентный ему документ, который должно направить за рубеж для вручения или уведомления в соответствии с настоящей Конвенцией и когда принято решение против не явившегося в суд ответчика, суд полномочен восстановить для ответчика пропущенный срок по истечении срока подачи апелляции, если налицо следующие условия: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а. ответчик не по своей вине не оповещен о времени, установленном упомянутым документом для защиты, и о решении, чтобы подать обжалование;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б. доводы ответчика представляются небезосновательными.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Просьба о продлении срока, является неприемлемой, если она не подана в достаточный период, считая с того момента, когда ответчик проинформирован о решении.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Каждое Государство-участник правомочно заявить, что эта просьба неприемлема, если она составлена после завершения срока, который оно предусмотрит в своей декларации, имея в виду, что этот срок не менее одного года, считая со дня вынесения решения.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Настоящая статья не применима к решениям, относящимся к гражданскому состоянию лиц.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Глава II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Внесудебные документы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17.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Внесудебные документы, исходящие от органов и должностных лиц органов юстиции Государств-участников, могут быть переданы для вручения или для уведомления в другое Государство-участник в соответствии с правилами и условиями, настоящей Конвенции.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Глава III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Общие положения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18.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Любое Государство-участник может назначить помимо Центрального компетентного органа другие органы, компетенция которых определяется им самим.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Однако истец всегда имеет право обращаться непосредственно в Центральный компетентный орган.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Федеральные государства правомочны назначать несколько Центральных компетентных органов.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19.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Настоящая Конвенция не является препятствием для того, чтобы внутренним законодательством Государства-участника разрешались другие формы передачи на его территории, поступивших из-за рубежа в целях вручения или уведомления документов, не предусмотренные в предыдущих статьях.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20.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Настоящая Конвенция не является препятствием для того, чтобы Государства-участники договаривались об отступлении от: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а. второго абзаца статьи 3, касающегося требования о направлении документов в двух экземплярах.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б. третьего абзаца статьи 5 и статьи 7 в том, что касается использования языков.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в. четвертого абзаца статьи 5.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г. второго абзаца статьи 12.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21.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Каждое Государство-участник уведомит Министерство иностранных дел Нидерландов либо в момент передачи ратификационных грамот, либо после этого о: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а. Назначении органов, предусмотренных статьями 2 и 18;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б. назначении органа, компетентного давать подтверждение, предусмотренное статьей 6.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в. назначении органа, компетентного принимать документы, передаваемые по консульским каналам в соответствии со статьей 9.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Оно в необходимых случаях уведомит на тех же условиях о: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а. своих возражениях по поводу каналов передачи, предусмотренных статьями 8 и 10.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б. заявлениях, предусмотренных вторым абзацем статьи 15 и третьим абзацем статьи 16.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в. всех изменениях назначений, возражениях и заявлениях, касающихся изложенного выше.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22.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Настоящая Конвенция заменяет в отношениях между Государствами, которые ее ратифицируют, статьи с 1-ой по 7-ю Конвенций относительно гражданского процесса, подписанных в Гааге соответственно 17 июля 1905 года и 1 марта 1954 года в той части, когда указанные Государства являются участниками одной или другой из этих Конвенций.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Точное название упомянутого документа: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Конвенция по вопросам гражданского процесса (Совершено в Гааге 1 марта 1954 г.)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23.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Настоящая Конвенция не распространяется на применение статьи 23 Конвенции относительно гражданского процесса, подписанной в Гааге 17 июля 1905 года, ни на применение статьи 24 Конвенции, подписанной в Гааге 1 марта 1954 года. Эти статьи, однако, применимы только в случае, если они позволяют использовать способы связи, идентичные предусмотренным в указанных Конвенциях.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24.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Дополнительные соглашения к указанным Конвенциям 1905 и 1954 г.г., заключенные Государствами-участниками, рассматриваются как применяющиеся одинаково с настоящей Конвенцией, по крайней мере до тех пор, пока заинтересованные Государства не условятся об ином.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25.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Помимо применения статей 22 и 24 настоящая Конвенция не отменяет Конвенций, участниками которых являются или будут являться Государства ее участники и которые содержат положения, касающиеся вопросов, регулируемых настоящей Конвенцией.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26.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Настоящая Конвенция открыта для подписания Государствами, представленными на десятой сессии Конференции в Гааге по международному частному праву.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Она подлежит ратификации, и ратификационные документы передаются депозитарию - Министерству иностранных дел Нидерландов.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27.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Настоящая Конвенция вступит в силу на шестидесятый день после сдачи депозитарию третьего ратификационного документа, предусмотренного вторым абзацем статьи 26.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Настоящая Конвенция вступает в силу для каждого Государства-подписанта, ратифицировавшего ее позднее, на шестидесятый день после сдачи им ратификационного документа.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28.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Любое Государство, не представленное на десятой Конференции в Гааге по международному частному праву, может присоединиться к настоящей Конвенции после ее вступления в силу на основании первого абзаца статьи 27. Документ о присоединении должен быть сдан на хранение в Министерство иностранных дел Нидерландов.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Конвенция вступает в силу для такого государства только при отсутствии возражений со стороны одного из Государств, ратифицировавших Конвенцию до сдачи указанного документа, уведомившего об этом Министерство иностранных дел Нидерландов в течение шести месяцев, начиная с той даты, когда Министерство информировало его о сдаче такого документа.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При отсутствии возражений Конвенция вступает в силу для присоединившегося Государства в первый день месяца, который следует истечению последнего месяца из сроков, упомянутых в предыдущем абзаце.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Российская Федерация присоединилась к настоящей Конвенции Федеральным законом от 12 февраля 2001 г. N 10-ФЗ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29.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Любое Государство в момент подписания, ратификации или присоединения сможет заявить, что настоящая Конвенция будет распространяться на все территории, которые оно представляет в международном плане, или на некоторые из них. Это заявление будет действовать с момента вступления Конвенции в силу для указанного Государства.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Впоследствии всякое расширение этого положения должно быть доведено до сведения Министерства иностранных дел Нидерландов.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Конвенция вступает в силу для территорий, входящих в такое расширение, на шестидесятый день после уведомления, упомянутого в предыдущем абзаце.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30.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Настоящая Конвенция действует пять лет, начиная со дня ее вступления в силу в соответствии с первым абзацем статьи 27, в том числе и для государств, которые ратифицируют ее или присоединятся к ней позднее.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Действие Конвенции будет продлеваться на пять и пять лет с молчаливого согласия, если не будет заявлений об ее денонсации.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Денонсация может быть объявлена не менее, чем за шесть месяцев до истечения пятилетнего срока, об этом заявлении уведомляется Министерство иностранных дел Нидерландов.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Она может ограничиваться некоторыми территориями, где применяется Конвенция.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Денонсация касается только Государства, которое заявит о ней. Конвенция остается в силе для других Государств-участников.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Статья 31.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Министерство иностранных дел Нидерландов уведомит Государства, о которых идет речь в статье 26, равно как и Государства, которые присоединяются в соответствии с положениями статьи 29, о нижеследующем: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а. о подписании и ратификации, предусмотренных статьей 26.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б. о дате, начиная с которой настоящая Конвенция вступает в силу в соответствии с положениями первого абзаца статьи 27.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в. о присоединениях, указанных в статье 28, и о датах, когда они приобретают силу.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г. о расширении, упомянутом в статье 29, и о дате, с которой оно действительно.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д. о назначениях, возражениях и заявлениях, упоминающихся в статье 21.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е. о денонсациях, упомянутых в третьем абзаце статьи 30.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В удостоверение чего нижеподписавшиеся, уполномоченные должным образом, подписали настоящую Конвенцию.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Совершено в Гааге 15 ноября 1965 года на французском и английском языке; оба текста имеют одинаковую силу, в одном экземпляре, который будет храниться в архиве Правительства Нидерландов, и заверенная копия которого будет направлена по дипломатическим каналам каждому Государству, представленному на десятой сессии Конференции в Гааге по международному частному праву.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/подписи/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Приложение 1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к Конвенции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относительно подписания и уведомления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за рубежом судебных и внесудебных актов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по гражданским и коммерческим делам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(Гаага, 15 ноября 1965 г.)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Формуляры запроса и подтверждения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Запрос о вручении или уведомлении за рубежом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о судебном или внесудебном документе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Конвенция относительно вручения или уведомления за рубежом о судебных и внесудебных документах по гражданским или коммерческим делам,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подписанная в Гааге</w:t>
      </w:r>
      <w:r>
        <w:t xml:space="preserve"> 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________________________________ 196___ г.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Личность и</w:t>
      </w:r>
      <w:r>
        <w:t xml:space="preserve"> </w:t>
      </w:r>
      <w:r w:rsidRPr="008A1A34">
        <w:t>Орган-адресат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адрес истца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Нижеподписавшийся истец имеет честь направить в двух экземплярах органу-адресату нижеследующие пронумерованные документы в соответствии со статьей 5 упомянутой выше Конвенции и просит передать незамедлительно один экземпляр известному получателю: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(личность получателя и адрес) ______________________________________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____________________________________________________________________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а. По указанной форме (пункт "а" первого абзаца ст. 5)**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б. В следующей любой форме (пункт "б" первого абзаца ст. 5)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____________________________________________________________________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____________________________________________________________________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в. В особом случае - путем простой передачи (абз. 2 ст. 5).</w:t>
      </w:r>
      <w:r>
        <w:t xml:space="preserve"> 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Просьба к этому органу возвратить или</w:t>
      </w:r>
      <w:r>
        <w:t xml:space="preserve"> </w:t>
      </w:r>
      <w:r w:rsidRPr="008A1A34">
        <w:t>организовать</w:t>
      </w:r>
      <w:r>
        <w:t xml:space="preserve"> </w:t>
      </w:r>
      <w:r w:rsidRPr="008A1A34">
        <w:t>возврат</w:t>
      </w:r>
      <w:r>
        <w:t xml:space="preserve"> </w:t>
      </w:r>
      <w:r w:rsidRPr="008A1A34">
        <w:t>истцу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одного экземпляра документа _________________________ и приложений к нему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_________ с подтверждением (на обороте).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Перечисление документов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Совершено в 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_______________________</w:t>
      </w:r>
      <w:r>
        <w:t xml:space="preserve"> </w:t>
      </w:r>
      <w:r w:rsidRPr="008A1A34">
        <w:t>_________________________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_______________________</w:t>
      </w:r>
      <w:r>
        <w:t xml:space="preserve"> </w:t>
      </w:r>
      <w:r w:rsidRPr="008A1A34">
        <w:t>Подпись и (или) печать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Приложение 2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к Конвенции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относительно подписания и уведомления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за рубежом судебных и внесудебных актов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по гражданским и коммерческим делам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(Гаага, 15 ноября 1965 г.)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Оборотная сторона запроса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Нижеподписавшийся орган имеет честь удостоверить в соответствии со статьей 6 указанной Конвенции: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1. Что запрос исполнен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- (дата) 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- (место, улица, номер дома, квартира) _____________________________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- в одной из следующих форм, предусмотренных статьей 5:**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а. В указанной форме (пункт "а" первого абзаца, ст. 5)* 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____________________________________________________________________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б. Путем следующей особой формы ____________________________________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в. Простой передачей _______________________________________________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Указанные в запросе документы вручены: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- (Личность и данные получателя) ___________________________________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- Родственные связи, подчинение или другие отношения</w:t>
      </w:r>
      <w:r>
        <w:t xml:space="preserve"> </w:t>
      </w:r>
      <w:r w:rsidRPr="008A1A34">
        <w:t>с</w:t>
      </w:r>
      <w:r>
        <w:t xml:space="preserve"> </w:t>
      </w:r>
      <w:r w:rsidRPr="008A1A34">
        <w:t>получателем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____________________________________________________________________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2. Что запрос не выполнен по причине следующих обстоятельств 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____________________________________________________________________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____________________________________________________________________</w:t>
      </w:r>
      <w:r>
        <w:t xml:space="preserve"> 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В соответствии со</w:t>
      </w:r>
      <w:r>
        <w:t xml:space="preserve"> </w:t>
      </w:r>
      <w:r w:rsidRPr="008A1A34">
        <w:t>вторым</w:t>
      </w:r>
      <w:r>
        <w:t xml:space="preserve"> </w:t>
      </w:r>
      <w:r w:rsidRPr="008A1A34">
        <w:t>абзацем</w:t>
      </w:r>
      <w:r>
        <w:t xml:space="preserve"> </w:t>
      </w:r>
      <w:r w:rsidRPr="008A1A34">
        <w:t>статьи</w:t>
      </w:r>
      <w:r>
        <w:t xml:space="preserve"> </w:t>
      </w:r>
      <w:r w:rsidRPr="008A1A34">
        <w:t>12</w:t>
      </w:r>
      <w:r>
        <w:t xml:space="preserve"> </w:t>
      </w:r>
      <w:r w:rsidRPr="008A1A34">
        <w:t>указанной</w:t>
      </w:r>
      <w:r>
        <w:t xml:space="preserve"> </w:t>
      </w:r>
      <w:r w:rsidRPr="008A1A34">
        <w:t>Конвенции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высказывается</w:t>
      </w:r>
      <w:r>
        <w:t xml:space="preserve"> </w:t>
      </w:r>
      <w:r w:rsidRPr="008A1A34">
        <w:t>просьба</w:t>
      </w:r>
      <w:r>
        <w:t xml:space="preserve"> </w:t>
      </w:r>
      <w:r w:rsidRPr="008A1A34">
        <w:t>к</w:t>
      </w:r>
      <w:r>
        <w:t xml:space="preserve"> </w:t>
      </w:r>
      <w:r w:rsidRPr="008A1A34">
        <w:t>истцу</w:t>
      </w:r>
      <w:r>
        <w:t xml:space="preserve"> </w:t>
      </w:r>
      <w:r w:rsidRPr="008A1A34">
        <w:t>уплатить или возместить расходы,</w:t>
      </w:r>
      <w:r>
        <w:t xml:space="preserve"> </w:t>
      </w:r>
      <w:r w:rsidRPr="008A1A34">
        <w:t>сумма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которых указана в приложении.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Приложения:</w:t>
      </w:r>
      <w:r>
        <w:t xml:space="preserve"> </w:t>
      </w:r>
      <w:r w:rsidRPr="008A1A34">
        <w:t>Совершено в 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Возвращаемые документы</w:t>
      </w:r>
      <w:r>
        <w:t xml:space="preserve"> </w:t>
      </w:r>
      <w:r w:rsidRPr="008A1A34">
        <w:t>"____"___________________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______________________</w:t>
      </w:r>
      <w:r>
        <w:t xml:space="preserve"> </w:t>
      </w:r>
      <w:r w:rsidRPr="008A1A34">
        <w:t>подпись и (или) печать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В случае необходимости документы,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удостоверяющие исполнение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Приложение 3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к Конвенции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относительно подписания и уведомления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за рубежом судебных и внесудебных актов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по гражданским и коммерческим делам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(Гаага, 15 ноября 1965 г.)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Основное содержание документа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Конвенция относительно вручения или уведомления за рубежом о судебных и внесудебных документах по гражданским и коммерческим делам,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подписанная в Гааге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_____________________ 196___г.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(четвертый абзац статьи 5)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Название и адрес запрашивающего органа _____________________________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____________________________________________________________________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Данные о сторонах* _________________________________________________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____________________________________________________________________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Судебный документ**</w:t>
      </w:r>
      <w:r>
        <w:t xml:space="preserve"> 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Характер и предмет судебного рассмотрения;</w:t>
      </w:r>
      <w:r>
        <w:t xml:space="preserve"> </w:t>
      </w:r>
      <w:r w:rsidRPr="008A1A34">
        <w:t>в случае необходимости,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данные о споре __________________________________________________________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____________________________________________________________________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Дата и место явки** ________________________________________________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Юрисдикция, вынесшая решение** _____________________________________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Данные о сроках, указанных в документе ** __________________________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Внесудебный документ**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Характер и предмет _________________________________________________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____________________________________________________________________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Данные о сроках, указанных в документе ** __________________________</w:t>
      </w:r>
      <w:r>
        <w:t xml:space="preserve"> </w:t>
      </w:r>
    </w:p>
    <w:p w:rsidR="004929B1" w:rsidRDefault="004929B1" w:rsidP="004929B1">
      <w:pPr>
        <w:spacing w:before="120"/>
        <w:ind w:firstLine="567"/>
        <w:jc w:val="both"/>
      </w:pPr>
      <w:r w:rsidRPr="008A1A34">
        <w:t>____________________________________________________________________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—————————————————————————————————————————————————————————————————————————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* Если имеется место, данные о личности и адрес лица, заинтересованного в передаче документа.</w:t>
      </w:r>
    </w:p>
    <w:p w:rsidR="004929B1" w:rsidRPr="008A1A34" w:rsidRDefault="004929B1" w:rsidP="004929B1">
      <w:pPr>
        <w:spacing w:before="120"/>
        <w:ind w:firstLine="567"/>
        <w:jc w:val="both"/>
      </w:pPr>
      <w:r w:rsidRPr="008A1A34">
        <w:t>** Зачеркнуть ненужное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9B1"/>
    <w:rsid w:val="00002B5A"/>
    <w:rsid w:val="0010437E"/>
    <w:rsid w:val="00316F32"/>
    <w:rsid w:val="003C3B6A"/>
    <w:rsid w:val="004929B1"/>
    <w:rsid w:val="00616072"/>
    <w:rsid w:val="006A5004"/>
    <w:rsid w:val="00710178"/>
    <w:rsid w:val="0081563E"/>
    <w:rsid w:val="008A1A34"/>
    <w:rsid w:val="008B35EE"/>
    <w:rsid w:val="00905CC1"/>
    <w:rsid w:val="00954AEF"/>
    <w:rsid w:val="00B147E5"/>
    <w:rsid w:val="00B42C45"/>
    <w:rsid w:val="00B47B6A"/>
    <w:rsid w:val="00D5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598528-1EFA-489F-9D7A-5AEA4AEF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9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92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3265</Words>
  <Characters>18614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Конвенция о вручении за границей судебных и внесудебных документов по гражданским или торговым делам</vt:lpstr>
    </vt:vector>
  </TitlesOfParts>
  <Company>Home</Company>
  <LinksUpToDate>false</LinksUpToDate>
  <CharactersWithSpaces>21836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Конвенция о вручении за границей судебных и внесудебных документов по гражданским или торговым делам</dc:title>
  <dc:subject/>
  <dc:creator>User</dc:creator>
  <cp:keywords/>
  <dc:description/>
  <cp:lastModifiedBy>admin</cp:lastModifiedBy>
  <cp:revision>2</cp:revision>
  <dcterms:created xsi:type="dcterms:W3CDTF">2014-02-14T17:49:00Z</dcterms:created>
  <dcterms:modified xsi:type="dcterms:W3CDTF">2014-02-14T17:49:00Z</dcterms:modified>
</cp:coreProperties>
</file>