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1C4" w:rsidRDefault="000D123E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Эссе</w:t>
      </w:r>
      <w:r w:rsidR="000F21C4">
        <w:rPr>
          <w:b/>
          <w:bCs/>
          <w:sz w:val="32"/>
          <w:szCs w:val="32"/>
        </w:rPr>
        <w:t xml:space="preserve"> по политологии</w:t>
      </w:r>
    </w:p>
    <w:p w:rsidR="000F21C4" w:rsidRDefault="000F21C4">
      <w:pPr>
        <w:spacing w:line="360" w:lineRule="auto"/>
        <w:jc w:val="center"/>
        <w:rPr>
          <w:b/>
          <w:bCs/>
          <w:sz w:val="28"/>
          <w:szCs w:val="28"/>
        </w:rPr>
      </w:pPr>
    </w:p>
    <w:p w:rsidR="00AB4C0A" w:rsidRDefault="00AB4C0A">
      <w:pPr>
        <w:spacing w:line="360" w:lineRule="auto"/>
        <w:jc w:val="center"/>
        <w:rPr>
          <w:b/>
          <w:bCs/>
          <w:sz w:val="28"/>
          <w:szCs w:val="28"/>
        </w:rPr>
      </w:pPr>
    </w:p>
    <w:p w:rsidR="000F21C4" w:rsidRDefault="000F21C4">
      <w:pPr>
        <w:pStyle w:val="a7"/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Воссоединение России и Украины: </w:t>
      </w:r>
    </w:p>
    <w:p w:rsidR="00210A40" w:rsidRPr="00210A40" w:rsidRDefault="000F21C4" w:rsidP="00210A40">
      <w:pPr>
        <w:pStyle w:val="a7"/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возможно ли оно?</w:t>
      </w:r>
    </w:p>
    <w:p w:rsidR="000F21C4" w:rsidRDefault="000F21C4">
      <w:pPr>
        <w:spacing w:line="360" w:lineRule="auto"/>
        <w:jc w:val="center"/>
        <w:rPr>
          <w:b/>
          <w:bCs/>
          <w:sz w:val="28"/>
          <w:szCs w:val="28"/>
        </w:rPr>
      </w:pPr>
    </w:p>
    <w:p w:rsidR="000F21C4" w:rsidRDefault="000F21C4">
      <w:pPr>
        <w:spacing w:line="360" w:lineRule="auto"/>
        <w:jc w:val="center"/>
        <w:rPr>
          <w:b/>
          <w:bCs/>
          <w:sz w:val="28"/>
          <w:szCs w:val="28"/>
        </w:rPr>
      </w:pPr>
    </w:p>
    <w:p w:rsidR="000F21C4" w:rsidRDefault="000F21C4">
      <w:pPr>
        <w:spacing w:line="360" w:lineRule="auto"/>
        <w:jc w:val="right"/>
        <w:rPr>
          <w:b/>
          <w:bCs/>
          <w:sz w:val="28"/>
          <w:szCs w:val="28"/>
        </w:rPr>
      </w:pPr>
    </w:p>
    <w:p w:rsidR="000F21C4" w:rsidRDefault="000F21C4">
      <w:pPr>
        <w:spacing w:line="360" w:lineRule="auto"/>
        <w:jc w:val="right"/>
        <w:rPr>
          <w:b/>
          <w:bCs/>
          <w:sz w:val="28"/>
          <w:szCs w:val="28"/>
        </w:rPr>
      </w:pPr>
    </w:p>
    <w:p w:rsidR="000F21C4" w:rsidRDefault="000F21C4">
      <w:pPr>
        <w:spacing w:line="360" w:lineRule="auto"/>
        <w:jc w:val="right"/>
        <w:rPr>
          <w:b/>
          <w:bCs/>
          <w:sz w:val="28"/>
          <w:szCs w:val="28"/>
        </w:rPr>
      </w:pPr>
    </w:p>
    <w:p w:rsidR="000F21C4" w:rsidRDefault="000F21C4">
      <w:pPr>
        <w:spacing w:line="360" w:lineRule="auto"/>
        <w:rPr>
          <w:b/>
          <w:bCs/>
          <w:sz w:val="28"/>
          <w:szCs w:val="28"/>
        </w:rPr>
      </w:pPr>
    </w:p>
    <w:p w:rsidR="000F21C4" w:rsidRDefault="000F21C4">
      <w:pPr>
        <w:spacing w:line="360" w:lineRule="auto"/>
        <w:jc w:val="center"/>
        <w:rPr>
          <w:b/>
          <w:bCs/>
          <w:sz w:val="28"/>
          <w:szCs w:val="28"/>
        </w:rPr>
      </w:pPr>
    </w:p>
    <w:p w:rsidR="000F21C4" w:rsidRDefault="000F21C4">
      <w:pPr>
        <w:spacing w:line="360" w:lineRule="auto"/>
        <w:jc w:val="center"/>
        <w:rPr>
          <w:b/>
          <w:bCs/>
          <w:sz w:val="28"/>
          <w:szCs w:val="28"/>
        </w:rPr>
      </w:pPr>
    </w:p>
    <w:p w:rsidR="000F21C4" w:rsidRDefault="000F21C4">
      <w:pPr>
        <w:spacing w:line="360" w:lineRule="auto"/>
        <w:rPr>
          <w:b/>
          <w:bCs/>
          <w:sz w:val="28"/>
          <w:szCs w:val="28"/>
        </w:rPr>
      </w:pPr>
    </w:p>
    <w:p w:rsidR="000F21C4" w:rsidRDefault="000F21C4">
      <w:pPr>
        <w:spacing w:line="360" w:lineRule="auto"/>
        <w:rPr>
          <w:b/>
          <w:bCs/>
          <w:sz w:val="28"/>
          <w:szCs w:val="28"/>
        </w:rPr>
      </w:pPr>
    </w:p>
    <w:p w:rsidR="000F21C4" w:rsidRDefault="000F21C4">
      <w:pPr>
        <w:spacing w:line="360" w:lineRule="auto"/>
        <w:rPr>
          <w:b/>
          <w:bCs/>
          <w:sz w:val="28"/>
          <w:szCs w:val="28"/>
        </w:rPr>
      </w:pPr>
    </w:p>
    <w:p w:rsidR="00AB4C0A" w:rsidRDefault="00AB4C0A">
      <w:pPr>
        <w:pStyle w:val="21"/>
        <w:spacing w:line="480" w:lineRule="auto"/>
        <w:rPr>
          <w:spacing w:val="6"/>
        </w:rPr>
      </w:pPr>
    </w:p>
    <w:p w:rsidR="00AB4C0A" w:rsidRDefault="00AB4C0A">
      <w:pPr>
        <w:pStyle w:val="21"/>
        <w:spacing w:line="480" w:lineRule="auto"/>
        <w:rPr>
          <w:spacing w:val="6"/>
        </w:rPr>
      </w:pPr>
      <w:r>
        <w:rPr>
          <w:spacing w:val="6"/>
        </w:rPr>
        <w:br w:type="page"/>
      </w:r>
      <w:r w:rsidR="000F21C4">
        <w:rPr>
          <w:spacing w:val="6"/>
        </w:rPr>
        <w:t>На протяжении 90-х годов российско-украинские отношения отличались высокой конфликтностью</w:t>
      </w:r>
      <w:r>
        <w:rPr>
          <w:spacing w:val="6"/>
        </w:rPr>
        <w:t>, а в новом тысячелетии они приобрели кризисную остроту</w:t>
      </w:r>
      <w:r w:rsidR="000F21C4">
        <w:rPr>
          <w:spacing w:val="6"/>
        </w:rPr>
        <w:t>. Негативные тенденции не смогли преодолеть или даже существенно смягчить не вступивший в 1999 году в силу Договор о дружбе, сотрудничестве и партнерстве, ни прошедшие на Украине очередные президентские выборы, в ходе которых обычно российский фактор играет большую роль и, как следствие, происходит некоторое внешнее сглаживание противоречий</w:t>
      </w:r>
      <w:r>
        <w:rPr>
          <w:spacing w:val="6"/>
        </w:rPr>
        <w:t>: наоборот, в ходе последних выборов именно благодаря российскому фактору противоречия обострились.</w:t>
      </w:r>
    </w:p>
    <w:p w:rsidR="000F21C4" w:rsidRDefault="000F21C4">
      <w:pPr>
        <w:pStyle w:val="21"/>
        <w:spacing w:line="480" w:lineRule="auto"/>
        <w:rPr>
          <w:spacing w:val="6"/>
        </w:rPr>
      </w:pPr>
      <w:r>
        <w:rPr>
          <w:spacing w:val="6"/>
        </w:rPr>
        <w:t xml:space="preserve">В </w:t>
      </w:r>
      <w:r w:rsidR="00AB4C0A">
        <w:rPr>
          <w:spacing w:val="6"/>
        </w:rPr>
        <w:t>середине первого</w:t>
      </w:r>
      <w:r>
        <w:rPr>
          <w:spacing w:val="6"/>
        </w:rPr>
        <w:t xml:space="preserve"> десятилетия ХХ</w:t>
      </w:r>
      <w:r w:rsidR="00AB4C0A">
        <w:rPr>
          <w:spacing w:val="6"/>
          <w:lang w:val="en-US"/>
        </w:rPr>
        <w:t>I</w:t>
      </w:r>
      <w:r>
        <w:rPr>
          <w:spacing w:val="6"/>
        </w:rPr>
        <w:t xml:space="preserve"> века двусторонние отношения оказались в глубоком, а главное, всестороннем кризисе.</w:t>
      </w:r>
    </w:p>
    <w:p w:rsidR="000F21C4" w:rsidRDefault="000F21C4">
      <w:pPr>
        <w:spacing w:line="480" w:lineRule="auto"/>
        <w:ind w:firstLine="1134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>Источники конфликтности в значительной степени коренятся в различии взглядов на роль и место своих государств в будущей Европе, мире и относительно друг друга, что постепенно становится основой внешнеполитического мировоззрения политикообразующего класса соответственно Украины и Россиии. В противоречии с расхожим тезисом о единстве двух восточнославянских народов эти взгляды стыкуются далеко не полностью, а иногда разнятся принципиально.</w:t>
      </w:r>
    </w:p>
    <w:p w:rsidR="000F21C4" w:rsidRDefault="000F21C4">
      <w:pPr>
        <w:spacing w:line="480" w:lineRule="auto"/>
        <w:ind w:firstLine="1134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>Так, нынешний официально пропагандируемый Украиной подход основывается на:</w:t>
      </w:r>
    </w:p>
    <w:p w:rsidR="000F21C4" w:rsidRDefault="000F21C4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>объективно заданном, хотя и гипертрофированном, акцентировании своих отличий от России: если два народа суть едины или хотя бы схожи, говорят на одном языке и т. д., то пропадает смысл в существовании отдельного государства;</w:t>
      </w:r>
    </w:p>
    <w:p w:rsidR="000F21C4" w:rsidRDefault="000F21C4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>вере в свою европейскость в отличие от евразийства России;</w:t>
      </w:r>
    </w:p>
    <w:p w:rsidR="000F21C4" w:rsidRDefault="000F21C4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>видении независимости не абстрактно, а именно как независимости от России, в силу чего зависимости от США или даже Польши ее политикообразующий класс (пока?) не боится;</w:t>
      </w:r>
    </w:p>
    <w:p w:rsidR="000F21C4" w:rsidRDefault="000F21C4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>страхе возрождения империи.</w:t>
      </w:r>
    </w:p>
    <w:p w:rsidR="000F21C4" w:rsidRDefault="000F21C4">
      <w:pPr>
        <w:pStyle w:val="21"/>
        <w:spacing w:line="480" w:lineRule="auto"/>
        <w:rPr>
          <w:spacing w:val="6"/>
        </w:rPr>
      </w:pPr>
      <w:r>
        <w:rPr>
          <w:spacing w:val="6"/>
        </w:rPr>
        <w:t>В свою очередь, в России только-только начинает преодолеваться комплекс «старшего брата», который одновременно и пренебрежительно, и патерналистски относится к «младшим», может проявить невнимание к их политическим нуждам, истории и культуре, но всегда готов оказывать экономическую помощь себе в ущерб и крайне  удивлен отсутствием благодарности. На Украине же такое отношение, с одной стороны, порождало чувство обиды, стремление «насолить» старшему по мелочам, а с другой – способствовало развитию элементарного иждивенчества, уверенности в том, что «подкармливание» будет продолжаться вечно.</w:t>
      </w:r>
    </w:p>
    <w:p w:rsidR="000F21C4" w:rsidRDefault="000F21C4">
      <w:pPr>
        <w:spacing w:line="480" w:lineRule="auto"/>
        <w:ind w:firstLine="1134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>Очевидно, что не все отмеченные явления были жестко запрограммированы самим фактом распада СССР. Наверное, многих из них можно было избежать за счет проведения Россией жесткой, принципиальной, но транспарентной и предсказуемой политики в отношении Украины, налаживания диалога с украинскими элитами и обществом и широкой пропаганды своих вышнеполитических целей как не противоречащих интересам Украины. Теперь же выведение двусторонних отношений из кризиса видится гораздо более сложной задачей, в силу того что лежащие в его основе негативные стереотипы укоренились и закоснели.</w:t>
      </w:r>
    </w:p>
    <w:p w:rsidR="000F21C4" w:rsidRDefault="000F21C4">
      <w:pPr>
        <w:spacing w:line="480" w:lineRule="auto"/>
        <w:ind w:firstLine="1134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>В экономической сфере кризисное состояние двусторонних отношений проявляется наиболее отчетливо. Снижение торговли стало следствием целого ряда факторов, среди которых можно отметить как неизбежный, с учетом дублирующих производств и целых отраслей, взаимный протекционизм, так и повальные в условиях, переходных экономик попытки стимулировать сотрудничество в рамках советских кооперационных схем (на что была, например, нацелена амбициозная десятилетняя программа экономического сотрудничества, подписанная в 1998 году). Главной же причиной видится низкая производительность труда в обеих странах, делающая их товары неконкурентноспособными даже на рынках друг друга.</w:t>
      </w:r>
    </w:p>
    <w:p w:rsidR="000F21C4" w:rsidRDefault="000F21C4">
      <w:pPr>
        <w:spacing w:line="480" w:lineRule="auto"/>
        <w:ind w:firstLine="1134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>Однако все, что касается собственно торговых взаимоотношений, все-таки представляет собой для России не менее важную проблему (и в силу ее низкой политизированности, и из-за относительно небольшого, 7 – 8%, удельного веса Украины в российской торговле). Центральным и наиболее дестабилизирующим вопросом двусторонних отношений, причем не только экономических, является императивная необходимость ликвидации модели «донор-реципиент», которая сложилась в связах между Россией и Украиной.</w:t>
      </w:r>
    </w:p>
    <w:p w:rsidR="000F21C4" w:rsidRDefault="000F21C4">
      <w:pPr>
        <w:spacing w:line="480" w:lineRule="auto"/>
        <w:ind w:firstLine="1134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>Наркотическое привыкание Украины к российским субсидиям оказалось столь глубоким, что все ее правительства, включая и нынешний кабинет, в принципе проводили единую политику, основанную на манипулировании цифрами, с тем чтобы отказаться от признания точных сумм задолженности и отказе Киева погашать задолженность объектами собственности на своей территории, таким образом отвергая единственную схему, к которой проявляют интерес российские кредиторы.</w:t>
      </w:r>
    </w:p>
    <w:p w:rsidR="000F21C4" w:rsidRDefault="000F21C4">
      <w:pPr>
        <w:spacing w:line="480" w:lineRule="auto"/>
        <w:ind w:firstLine="1134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 xml:space="preserve">Кроме того, значительные объемы газа попросту откачиваются из проходящих через территорию Украины экспортных газопроводов. Зимой 2000 года объемы такого «насанскционированного отбора», по оценкам «Газпрома», составляли 100 – 120 млн. кубометров газа ежедневно. В июне того же года президент Украины Леонид Кучма признал незаконную откачку 13 млрд. кубометров газа. </w:t>
      </w:r>
      <w:r w:rsidR="00280135">
        <w:rPr>
          <w:rFonts w:ascii="Arial" w:hAnsi="Arial" w:cs="Arial"/>
          <w:spacing w:val="6"/>
          <w:sz w:val="28"/>
          <w:szCs w:val="28"/>
        </w:rPr>
        <w:t xml:space="preserve">Нынешнее правительство проводит практически ту же политику. </w:t>
      </w:r>
      <w:r>
        <w:rPr>
          <w:rFonts w:ascii="Arial" w:hAnsi="Arial" w:cs="Arial"/>
          <w:spacing w:val="6"/>
          <w:sz w:val="28"/>
          <w:szCs w:val="28"/>
        </w:rPr>
        <w:t xml:space="preserve">Проведение Украиной подобной политики обусловлено критической зависимостью России от украинской транзитной системы (до 90% экспорта российского газа в Европу идет через Украину). </w:t>
      </w:r>
    </w:p>
    <w:p w:rsidR="000F21C4" w:rsidRDefault="000F21C4">
      <w:pPr>
        <w:spacing w:line="480" w:lineRule="auto"/>
        <w:ind w:firstLine="1134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>Неудивительно, что российские экспортеры собираются переориентировать пути газового и нефтяного транзита и пустить их в обход Украины, чтобы найти выход из нынешней патовой ситуации, а также уберечь себя от технологических рисков (в течение десятилетия украинские газопроводы страдали от недоинвестирования и поэтому быстро становятся ненадежными).</w:t>
      </w:r>
    </w:p>
    <w:p w:rsidR="000F21C4" w:rsidRDefault="000F21C4">
      <w:pPr>
        <w:spacing w:line="480" w:lineRule="auto"/>
        <w:ind w:firstLine="1134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>Постепенно усиливаются и углубляются и различия в проводимых двумя «стратегическими партнерами» внешнеполитических курсов. В ряде случаев эти курсы сталкиваются впрямую и на практике, и концептуально.</w:t>
      </w:r>
    </w:p>
    <w:p w:rsidR="000F21C4" w:rsidRDefault="000F21C4">
      <w:pPr>
        <w:spacing w:line="480" w:lineRule="auto"/>
        <w:ind w:firstLine="1134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 xml:space="preserve">Прежде всего, Россию и Украину разделяет отношение к формирующейся в настоящий момент системе европейской безопасности, как основанной на ведущей роли НАТО (треугольник Россия – Украина </w:t>
      </w:r>
      <w:r w:rsidR="00280135">
        <w:rPr>
          <w:rFonts w:ascii="Arial" w:hAnsi="Arial" w:cs="Arial"/>
          <w:spacing w:val="6"/>
          <w:sz w:val="28"/>
          <w:szCs w:val="28"/>
        </w:rPr>
        <w:t>–</w:t>
      </w:r>
      <w:r>
        <w:rPr>
          <w:rFonts w:ascii="Arial" w:hAnsi="Arial" w:cs="Arial"/>
          <w:spacing w:val="6"/>
          <w:sz w:val="28"/>
          <w:szCs w:val="28"/>
        </w:rPr>
        <w:t xml:space="preserve"> НАТО). В то время как Россия пытается этому противостоять путем увеличения веса других организаций, в том числе региональных, и налаживания партнерства между входящими и невходящими в НАТО странами, Украина приветствует рост влияния блока и активно пытается создавать условия для собственного вхождения в западную систему безопасности. По мнению близких к официальным кругам экспертов, «углубление особого партнерства с НАТО, курс на присоединение (в качестве первого шага) к политическим структурам этой организации» является одним из основных приоритетов Украины. Более того, Украина выказывает готовность к принятию натоцентричтой модели безопасности, даже если сама она останется за пределами Альянса.</w:t>
      </w:r>
    </w:p>
    <w:p w:rsidR="000F21C4" w:rsidRDefault="000F21C4">
      <w:pPr>
        <w:spacing w:line="480" w:lineRule="auto"/>
        <w:ind w:firstLine="1134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>Это стало особенно очевидно в период натовской агрессии против Югославии. Россия осудила бомбардировки этого суверенного государства и заморозила отношения с НАТО. Украинская же исполнительная власть (парламент страны также осудил агрессию) де-факто солидаризировалась с действиями НАТ</w:t>
      </w:r>
      <w:r w:rsidR="00280135">
        <w:rPr>
          <w:rFonts w:ascii="Arial" w:hAnsi="Arial" w:cs="Arial"/>
          <w:spacing w:val="6"/>
          <w:sz w:val="28"/>
          <w:szCs w:val="28"/>
        </w:rPr>
        <w:t>О</w:t>
      </w:r>
      <w:r>
        <w:rPr>
          <w:rFonts w:ascii="Arial" w:hAnsi="Arial" w:cs="Arial"/>
          <w:spacing w:val="6"/>
          <w:sz w:val="28"/>
          <w:szCs w:val="28"/>
        </w:rPr>
        <w:t>.</w:t>
      </w:r>
    </w:p>
    <w:p w:rsidR="000F21C4" w:rsidRDefault="000F21C4">
      <w:pPr>
        <w:spacing w:line="480" w:lineRule="auto"/>
        <w:ind w:firstLine="1134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>После косовского кризиса и определенной паузы, вызванной избирательной кампанией на Украине осенью 1999 года, взаимодействие между Украиной и НАТО интенсифицировалось. Киев сразу же начал активно работать над реализацией Государственной программы сотрудничества с НАТО на 1999 – 2001 год. Верховная Рада приняла законодательный акт, в соответствии с которым Яворивский полигон был превращен в международный военно-учебный центр под эгидой НАТО. в марте 2000 года в Киеве состоялась беспрецедентная выездная сессия Североатлантического Совета. Все это происходило на фоне известных сложностей российско-натовских отношений, которые были лишь частично восстановлены в феврале 2000 года и в перспективах которых до сих пор отсутствует определенность.</w:t>
      </w:r>
    </w:p>
    <w:p w:rsidR="00280135" w:rsidRDefault="00280135">
      <w:pPr>
        <w:spacing w:line="480" w:lineRule="auto"/>
        <w:ind w:firstLine="1134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>В то же время отношение пророссийски настроенного, русскоязычного населения Украины, особенно в Крыму, остается антинатовским, что подтвердили массовые митинги и выступления против совместных учений в Севастополе в 2006 году.</w:t>
      </w:r>
    </w:p>
    <w:p w:rsidR="000F21C4" w:rsidRDefault="000F21C4">
      <w:pPr>
        <w:spacing w:line="480" w:lineRule="auto"/>
        <w:ind w:firstLine="1134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>Можно прогнозировать дальнейшее нарастание разногласий между Россией и Украиной по вопросу о НАТО. Украинская политика в отношении Альянса останется активной.</w:t>
      </w:r>
    </w:p>
    <w:p w:rsidR="000F21C4" w:rsidRDefault="000F21C4">
      <w:pPr>
        <w:spacing w:line="480" w:lineRule="auto"/>
        <w:ind w:firstLine="1134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>К другой внешнеполитической коллизии в российско-украинских отношениях ведет политика, проводимая странами на пространстве СНГ. Цель политики Украины, формулируемая правительственными экспертами как «закрепление и удержание альтернативного лидерства в этой организации и в целом в регионе», формирование региональных структур и союзов «без Москвы» при ведущей роли Украины, реализуемая с помощью группировки ГУУАМ (Грузия – Украина – Узбекистан – Азербайджан - Молдова), не может не вызывать определенной озабоченности Москвы. Наиболее проблемным, с российской точки зрения, компонентом деятельности ГУУАМ, остающейся экономически неэффективной организацией, является возникающее военно-политическое измерение – единственное, где Украина может играть роль полноценного лидера.</w:t>
      </w:r>
    </w:p>
    <w:p w:rsidR="000F21C4" w:rsidRDefault="000F21C4">
      <w:pPr>
        <w:spacing w:line="480" w:lineRule="auto"/>
        <w:ind w:firstLine="1134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>В этом контексте ГУУАМ воспринимается опять-таки как потенциальный проводник политики НАТО на постсоветском пространстве. В 1998 году Украина пыталась формализовать консультации по проблемам безопасности между НАТО и тогда еще ГУАМ (без Узбекистана) в формате «16+4», но натолкнулась на оппозицию самого На Вашингтонском саммите Альянса ГУУАМ объявил о своем намерении развивать сотрудничество с НАТО в рамках натовского же Совета Евроатлантического партнерства.</w:t>
      </w:r>
    </w:p>
    <w:p w:rsidR="00280135" w:rsidRDefault="00280135">
      <w:pPr>
        <w:spacing w:line="480" w:lineRule="auto"/>
        <w:ind w:firstLine="1134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>Две «оранжевые революции», прошедшие практически одновременно в Грузии и на Украине, и финансируемые из-за рубежа, подтвердили опасения России.</w:t>
      </w:r>
    </w:p>
    <w:p w:rsidR="000F21C4" w:rsidRDefault="000F21C4">
      <w:pPr>
        <w:spacing w:line="480" w:lineRule="auto"/>
        <w:ind w:firstLine="1134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>Украина, в свою очередь, не скрывает опасений по поводу российско-белорусской интеграции. И хотя российско-белорусские отношения постепенно становятся более прагматичными и деполитизируются, негативные оценки Украины по этому поводу только усиливаются, что явно связано с опасениями Киева не найти аргументов для оправдания неспособности договариваться с Россией на фоне получаемых Белоруссией экономических дивидендов.</w:t>
      </w:r>
    </w:p>
    <w:p w:rsidR="000F21C4" w:rsidRDefault="000F21C4">
      <w:pPr>
        <w:spacing w:line="480" w:lineRule="auto"/>
        <w:ind w:firstLine="1134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>Наконец, несмотря на вступление в силу в 1999 году трех базовых соглашений по Черноморскому флоту (ЧФ) и достижение впоследствии около десятка договоренностей по конкретным вопросам, Россия и Украина далеки от создания всеохватывающей правовой базы пребывания российских войск в Крыму, что не позволяет окончательно снять эту сложную проблему с повестки дня.</w:t>
      </w:r>
    </w:p>
    <w:p w:rsidR="000F21C4" w:rsidRDefault="000F21C4">
      <w:pPr>
        <w:spacing w:line="480" w:lineRule="auto"/>
        <w:ind w:firstLine="1134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>Постепенно одним из наиболее острых вопросов двусторонних отношений  становится так называемый «гуманитарный блок» (статус русского языка, русской культуры и образования на русском на Украине). Москва рассматривает политику, нацеленную на быструю «укранизацию» населения страны, большинство которой в качестве родного языка использует русский, как ассимиляторскую и в долгосрочной перспективе дискриминационную, поскольку в результате действий властей создаются неравные условия в получении высшего образования для лиц, не владеющих государственным языком, то есть украинским. Более того, у России не может не вызывать неприятия и озабоченности то обстоятельство, что размывание гуманитарных связей, не говоря уж о том, что роль России в истории Украины в основном преподается в негативном плане, подрывает одн</w:t>
      </w:r>
      <w:r w:rsidR="00280135">
        <w:rPr>
          <w:rFonts w:ascii="Arial" w:hAnsi="Arial" w:cs="Arial"/>
          <w:spacing w:val="6"/>
          <w:sz w:val="28"/>
          <w:szCs w:val="28"/>
        </w:rPr>
        <w:t>о</w:t>
      </w:r>
      <w:r>
        <w:rPr>
          <w:rFonts w:ascii="Arial" w:hAnsi="Arial" w:cs="Arial"/>
          <w:spacing w:val="6"/>
          <w:sz w:val="28"/>
          <w:szCs w:val="28"/>
        </w:rPr>
        <w:t>й из основных опор стабильности в двусторонних отношения.</w:t>
      </w:r>
    </w:p>
    <w:p w:rsidR="000F21C4" w:rsidRDefault="000F21C4">
      <w:pPr>
        <w:spacing w:line="480" w:lineRule="auto"/>
        <w:ind w:firstLine="1134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>Таким образом, можно констатировать, что в настоящий момент в российско-украинских отношениях доминируют не просто центробежные, но конфликтообразующие тенденции.</w:t>
      </w:r>
    </w:p>
    <w:p w:rsidR="000F21C4" w:rsidRDefault="000F21C4">
      <w:pPr>
        <w:spacing w:line="480" w:lineRule="auto"/>
        <w:ind w:firstLine="1134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>Кстати, в России ощущение кризисности отношений с Украиной налицо. Так, согласно опросу экспертов, проведенному в начале 200</w:t>
      </w:r>
      <w:r w:rsidR="00280135">
        <w:rPr>
          <w:rFonts w:ascii="Arial" w:hAnsi="Arial" w:cs="Arial"/>
          <w:spacing w:val="6"/>
          <w:sz w:val="28"/>
          <w:szCs w:val="28"/>
        </w:rPr>
        <w:t>6</w:t>
      </w:r>
      <w:r>
        <w:rPr>
          <w:rFonts w:ascii="Arial" w:hAnsi="Arial" w:cs="Arial"/>
          <w:spacing w:val="6"/>
          <w:sz w:val="28"/>
          <w:szCs w:val="28"/>
        </w:rPr>
        <w:t xml:space="preserve"> года совместно Российским общественно-политическим центром и Украинским центром экономических и политических исследований, 88% опрошенных дали негативную оценку нынешнему состоянию двусторонних отношений и лишь 12% отметили в них прогресс.</w:t>
      </w:r>
    </w:p>
    <w:p w:rsidR="000F21C4" w:rsidRDefault="000F21C4">
      <w:pPr>
        <w:spacing w:line="480" w:lineRule="auto"/>
        <w:ind w:firstLine="1134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>С учетом новой динамики российской внешней политики представляется необходимым заново проанализировать комплекс российско-украинских разногласий. Без острой дискуссии по этим вопросам и осознания негативных последствий для обоих государств их дальнейшего обособления налаживание конструктивных добрососедских отношений вряд ли окажется возможным.</w:t>
      </w:r>
    </w:p>
    <w:p w:rsidR="004130C5" w:rsidRDefault="004130C5">
      <w:pPr>
        <w:spacing w:line="480" w:lineRule="auto"/>
        <w:ind w:firstLine="1134"/>
        <w:jc w:val="both"/>
        <w:rPr>
          <w:rFonts w:ascii="Arial" w:hAnsi="Arial" w:cs="Arial"/>
          <w:spacing w:val="6"/>
          <w:sz w:val="28"/>
          <w:szCs w:val="28"/>
        </w:rPr>
      </w:pPr>
      <w:r>
        <w:rPr>
          <w:rFonts w:ascii="Arial" w:hAnsi="Arial" w:cs="Arial"/>
          <w:spacing w:val="6"/>
          <w:sz w:val="28"/>
          <w:szCs w:val="28"/>
        </w:rPr>
        <w:t>Что же говорить о воссоединении двух государств, то в ближайшее время оно невозможно даже на условиях конфедерации.</w:t>
      </w:r>
    </w:p>
    <w:p w:rsidR="004130C5" w:rsidRDefault="004130C5">
      <w:pPr>
        <w:spacing w:line="480" w:lineRule="auto"/>
        <w:ind w:firstLine="1134"/>
        <w:jc w:val="both"/>
        <w:rPr>
          <w:rFonts w:ascii="Arial" w:hAnsi="Arial" w:cs="Arial"/>
          <w:spacing w:val="6"/>
          <w:sz w:val="28"/>
          <w:szCs w:val="28"/>
        </w:rPr>
      </w:pPr>
    </w:p>
    <w:p w:rsidR="000F21C4" w:rsidRDefault="000F21C4" w:rsidP="00C867E8">
      <w:pPr>
        <w:pageBreakBefore/>
        <w:spacing w:line="480" w:lineRule="auto"/>
        <w:ind w:firstLine="1134"/>
        <w:jc w:val="center"/>
        <w:rPr>
          <w:rFonts w:ascii="Arial" w:hAnsi="Arial" w:cs="Arial"/>
          <w:b/>
          <w:bCs/>
          <w:spacing w:val="6"/>
          <w:sz w:val="28"/>
          <w:szCs w:val="28"/>
        </w:rPr>
      </w:pPr>
      <w:r>
        <w:rPr>
          <w:rFonts w:ascii="Arial" w:hAnsi="Arial" w:cs="Arial"/>
          <w:b/>
          <w:bCs/>
          <w:spacing w:val="6"/>
          <w:sz w:val="28"/>
          <w:szCs w:val="28"/>
        </w:rPr>
        <w:t>Литература:</w:t>
      </w:r>
    </w:p>
    <w:p w:rsidR="000F21C4" w:rsidRDefault="000F21C4">
      <w:pPr>
        <w:spacing w:line="480" w:lineRule="auto"/>
        <w:ind w:firstLine="1134"/>
        <w:jc w:val="both"/>
        <w:rPr>
          <w:rFonts w:ascii="Arial" w:hAnsi="Arial" w:cs="Arial"/>
          <w:b/>
          <w:bCs/>
          <w:spacing w:val="6"/>
          <w:sz w:val="28"/>
          <w:szCs w:val="28"/>
        </w:rPr>
      </w:pPr>
    </w:p>
    <w:p w:rsidR="00996725" w:rsidRDefault="000F21C4" w:rsidP="00996725">
      <w:pPr>
        <w:pStyle w:val="21"/>
        <w:numPr>
          <w:ilvl w:val="0"/>
          <w:numId w:val="3"/>
        </w:numPr>
        <w:spacing w:line="480" w:lineRule="auto"/>
      </w:pPr>
      <w:r>
        <w:t>Дергачев Л. Украина в современных геополитических преобразованиях // Политические исследования. 1998. №3. С. 127 – 133.</w:t>
      </w:r>
      <w:r w:rsidR="00996725" w:rsidRPr="00996725">
        <w:t xml:space="preserve"> </w:t>
      </w:r>
    </w:p>
    <w:p w:rsidR="00996725" w:rsidRDefault="00996725" w:rsidP="00996725">
      <w:pPr>
        <w:pStyle w:val="21"/>
        <w:numPr>
          <w:ilvl w:val="0"/>
          <w:numId w:val="3"/>
        </w:numPr>
        <w:spacing w:line="480" w:lineRule="auto"/>
      </w:pPr>
      <w:r>
        <w:t>Мошес А. Россия – Украина: проблемы взаимоотношений // Современная Европа. 2000. №3. С. 63 – 73.</w:t>
      </w:r>
    </w:p>
    <w:p w:rsidR="00644A5D" w:rsidRDefault="00644A5D" w:rsidP="00996725">
      <w:pPr>
        <w:pStyle w:val="21"/>
        <w:numPr>
          <w:ilvl w:val="0"/>
          <w:numId w:val="3"/>
        </w:numPr>
        <w:spacing w:line="480" w:lineRule="auto"/>
      </w:pPr>
      <w:r>
        <w:t>Василевский М. и др. Неизвестная Россия и Украина Incognita</w:t>
      </w:r>
      <w:r w:rsidR="00374158">
        <w:t xml:space="preserve"> // День. №225. 22 декабря 2006.</w:t>
      </w:r>
    </w:p>
    <w:p w:rsidR="00996725" w:rsidRDefault="00996725">
      <w:pPr>
        <w:pStyle w:val="21"/>
        <w:numPr>
          <w:ilvl w:val="0"/>
          <w:numId w:val="3"/>
        </w:numPr>
        <w:spacing w:line="480" w:lineRule="auto"/>
      </w:pPr>
      <w:r>
        <w:t xml:space="preserve">Россия-Украина: перспектива безрадостна // </w:t>
      </w:r>
      <w:r w:rsidRPr="004B2EBC">
        <w:t>http://www.prognosis.ru/news/politic/2006/1/18/rus_ukr.html</w:t>
      </w:r>
      <w:bookmarkStart w:id="0" w:name="_GoBack"/>
      <w:bookmarkEnd w:id="0"/>
    </w:p>
    <w:sectPr w:rsidR="00996725">
      <w:footerReference w:type="default" r:id="rId7"/>
      <w:pgSz w:w="11906" w:h="16838"/>
      <w:pgMar w:top="1701" w:right="1797" w:bottom="1701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48B" w:rsidRDefault="0036148B">
      <w:r>
        <w:separator/>
      </w:r>
    </w:p>
  </w:endnote>
  <w:endnote w:type="continuationSeparator" w:id="0">
    <w:p w:rsidR="0036148B" w:rsidRDefault="0036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b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iest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158" w:rsidRDefault="004B2EBC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74158" w:rsidRDefault="003741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48B" w:rsidRDefault="0036148B">
      <w:r>
        <w:separator/>
      </w:r>
    </w:p>
  </w:footnote>
  <w:footnote w:type="continuationSeparator" w:id="0">
    <w:p w:rsidR="0036148B" w:rsidRDefault="00361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0E004FD6"/>
    <w:multiLevelType w:val="singleLevel"/>
    <w:tmpl w:val="383498B2"/>
    <w:lvl w:ilvl="0">
      <w:start w:val="1"/>
      <w:numFmt w:val="decimal"/>
      <w:lvlText w:val="%1."/>
      <w:lvlJc w:val="left"/>
      <w:pPr>
        <w:tabs>
          <w:tab w:val="num" w:pos="1704"/>
        </w:tabs>
        <w:ind w:left="1704" w:hanging="570"/>
      </w:pPr>
      <w:rPr>
        <w:rFonts w:hint="default"/>
      </w:rPr>
    </w:lvl>
  </w:abstractNum>
  <w:abstractNum w:abstractNumId="2">
    <w:nsid w:val="25770586"/>
    <w:multiLevelType w:val="singleLevel"/>
    <w:tmpl w:val="43BE299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60A"/>
    <w:rsid w:val="000D123E"/>
    <w:rsid w:val="000F21C4"/>
    <w:rsid w:val="00210A40"/>
    <w:rsid w:val="00280135"/>
    <w:rsid w:val="0032160A"/>
    <w:rsid w:val="0036148B"/>
    <w:rsid w:val="00374158"/>
    <w:rsid w:val="004130C5"/>
    <w:rsid w:val="004B2EBC"/>
    <w:rsid w:val="00644A5D"/>
    <w:rsid w:val="007E552F"/>
    <w:rsid w:val="008A77B2"/>
    <w:rsid w:val="008E2ACA"/>
    <w:rsid w:val="008E4881"/>
    <w:rsid w:val="00996725"/>
    <w:rsid w:val="00A64A56"/>
    <w:rsid w:val="00AB4C0A"/>
    <w:rsid w:val="00C867E8"/>
    <w:rsid w:val="00D170BD"/>
    <w:rsid w:val="00EA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C75BEA-F9E6-47F2-A6A3-C5C9483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keepLines/>
      <w:numPr>
        <w:numId w:val="2"/>
      </w:numPr>
      <w:spacing w:before="240" w:after="60"/>
      <w:jc w:val="center"/>
      <w:outlineLvl w:val="0"/>
    </w:pPr>
    <w:rPr>
      <w:rFonts w:ascii="Arbat" w:hAnsi="Arbat" w:cs="Arbat"/>
      <w:b/>
      <w:bCs/>
      <w:spacing w:val="20"/>
      <w:kern w:val="28"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numPr>
        <w:ilvl w:val="1"/>
        <w:numId w:val="2"/>
      </w:numPr>
      <w:spacing w:before="240" w:after="60"/>
      <w:jc w:val="center"/>
      <w:outlineLvl w:val="1"/>
    </w:pPr>
    <w:rPr>
      <w:rFonts w:ascii="Fiesta" w:hAnsi="Fiesta" w:cs="Fiesta"/>
      <w:b/>
      <w:bCs/>
      <w:i/>
      <w:iCs/>
      <w:spacing w:val="20"/>
      <w:kern w:val="24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2"/>
      </w:numPr>
      <w:spacing w:before="240" w:after="60"/>
      <w:jc w:val="both"/>
      <w:outlineLvl w:val="2"/>
    </w:pPr>
    <w:rPr>
      <w:rFonts w:ascii="Baltica" w:hAnsi="Baltica" w:cs="Baltica"/>
      <w:b/>
      <w:bCs/>
      <w:kern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2"/>
      </w:numPr>
      <w:spacing w:before="240" w:after="60"/>
      <w:jc w:val="both"/>
      <w:outlineLvl w:val="3"/>
    </w:pPr>
    <w:rPr>
      <w:rFonts w:ascii="Arial" w:hAnsi="Arial" w:cs="Arial"/>
      <w:b/>
      <w:bCs/>
      <w:spacing w:val="20"/>
      <w:kern w:val="24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2"/>
      </w:numPr>
      <w:spacing w:before="240" w:after="60"/>
      <w:jc w:val="both"/>
      <w:outlineLvl w:val="4"/>
    </w:pPr>
    <w:rPr>
      <w:rFonts w:ascii="Arial" w:hAnsi="Arial" w:cs="Arial"/>
      <w:spacing w:val="20"/>
      <w:kern w:val="24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2"/>
      </w:numPr>
      <w:spacing w:before="240" w:after="60"/>
      <w:jc w:val="both"/>
      <w:outlineLvl w:val="5"/>
    </w:pPr>
    <w:rPr>
      <w:i/>
      <w:iCs/>
      <w:spacing w:val="20"/>
      <w:kern w:val="24"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 w:cs="Arial"/>
      <w:spacing w:val="20"/>
      <w:kern w:val="24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 w:cs="Arial"/>
      <w:i/>
      <w:iCs/>
      <w:spacing w:val="20"/>
      <w:kern w:val="24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b/>
      <w:bCs/>
      <w:i/>
      <w:iCs/>
      <w:spacing w:val="20"/>
      <w:kern w:val="24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21">
    <w:name w:val="Body Text 2"/>
    <w:basedOn w:val="a"/>
    <w:link w:val="22"/>
    <w:uiPriority w:val="99"/>
    <w:pPr>
      <w:spacing w:line="360" w:lineRule="auto"/>
      <w:ind w:firstLine="1134"/>
      <w:jc w:val="both"/>
    </w:pPr>
    <w:rPr>
      <w:rFonts w:ascii="Arial" w:hAnsi="Arial" w:cs="Arial"/>
      <w:sz w:val="28"/>
      <w:szCs w:val="28"/>
    </w:rPr>
  </w:style>
  <w:style w:type="character" w:customStyle="1" w:styleId="22">
    <w:name w:val="Основний текст 2 Знак"/>
    <w:link w:val="21"/>
    <w:uiPriority w:val="99"/>
    <w:semiHidden/>
    <w:rPr>
      <w:sz w:val="20"/>
      <w:szCs w:val="20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  <w:style w:type="paragraph" w:customStyle="1" w:styleId="a6">
    <w:name w:val="Академия"/>
    <w:basedOn w:val="21"/>
    <w:uiPriority w:val="99"/>
    <w:pPr>
      <w:ind w:firstLine="709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spacing w:before="200" w:line="360" w:lineRule="auto"/>
    </w:pPr>
    <w:rPr>
      <w:color w:val="000000"/>
      <w:sz w:val="28"/>
      <w:szCs w:val="28"/>
    </w:rPr>
  </w:style>
  <w:style w:type="character" w:customStyle="1" w:styleId="a8">
    <w:name w:val="Основний текст Знак"/>
    <w:link w:val="a7"/>
    <w:uiPriority w:val="99"/>
    <w:semiHidden/>
    <w:rPr>
      <w:sz w:val="20"/>
      <w:szCs w:val="20"/>
    </w:rPr>
  </w:style>
  <w:style w:type="character" w:styleId="a9">
    <w:name w:val="Hyperlink"/>
    <w:uiPriority w:val="99"/>
    <w:rsid w:val="00996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Калининградский Государственный Университет</vt:lpstr>
    </vt:vector>
  </TitlesOfParts>
  <Company>общага</Company>
  <LinksUpToDate>false</LinksUpToDate>
  <CharactersWithSpaces>12467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Калининградский Государственный Университет</dc:title>
  <dc:subject/>
  <dc:creator>Татьяна</dc:creator>
  <cp:keywords/>
  <dc:description/>
  <cp:lastModifiedBy>Irina</cp:lastModifiedBy>
  <cp:revision>2</cp:revision>
  <dcterms:created xsi:type="dcterms:W3CDTF">2014-08-10T12:25:00Z</dcterms:created>
  <dcterms:modified xsi:type="dcterms:W3CDTF">2014-08-10T12:25:00Z</dcterms:modified>
</cp:coreProperties>
</file>