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A9" w:rsidRPr="007E27BC" w:rsidRDefault="00C24DA9" w:rsidP="00C24DA9">
      <w:pPr>
        <w:spacing w:before="120"/>
        <w:jc w:val="center"/>
        <w:rPr>
          <w:b/>
          <w:bCs/>
          <w:sz w:val="32"/>
          <w:szCs w:val="32"/>
        </w:rPr>
      </w:pPr>
      <w:r w:rsidRPr="007E27BC">
        <w:rPr>
          <w:b/>
          <w:bCs/>
          <w:sz w:val="32"/>
          <w:szCs w:val="32"/>
        </w:rPr>
        <w:t>Cистемы пожарной сигнализации</w:t>
      </w:r>
    </w:p>
    <w:p w:rsidR="00C24DA9" w:rsidRPr="00C24DA9" w:rsidRDefault="00C24DA9" w:rsidP="00C24DA9">
      <w:pPr>
        <w:spacing w:before="120"/>
        <w:jc w:val="center"/>
        <w:rPr>
          <w:sz w:val="28"/>
          <w:szCs w:val="28"/>
        </w:rPr>
      </w:pPr>
      <w:r w:rsidRPr="00C24DA9">
        <w:rPr>
          <w:sz w:val="28"/>
          <w:szCs w:val="28"/>
        </w:rPr>
        <w:t>Пьянников В.П., Федеральная служба по  технологическому надзору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Система пожарной сигнализации - совокупность установок пожарной сигнализации, смонтированных на одном объекте и контролируемых с общего пожарного поста. (НПБ 88-001). </w:t>
      </w:r>
    </w:p>
    <w:p w:rsidR="00C24DA9" w:rsidRDefault="00C24DA9" w:rsidP="00C24DA9">
      <w:pPr>
        <w:spacing w:before="120"/>
        <w:ind w:firstLine="567"/>
        <w:jc w:val="both"/>
      </w:pPr>
      <w:r w:rsidRPr="007E27BC">
        <w:t xml:space="preserve">Технические средства пожарной сигнализации условно разделяют на группы по выполняемым функциям: пожарные извещатели, пожарные приборы приемно-контрольные и управления, пожарные оповещатели. Конструктивно технические средства пожарной сигнализации могут быть выполнены в виде блоков, совмещающих в себе функции нескольких устройств, например, приемно-контрольного прибора, прибора управления и источника бесперебойного питания, или в виде отдельных блоков, соединенных линиями связи и рассредоточенных в пространстве. Технические требования к каждой из групп ТС и методы испытаний определены соответствующим нормативным документом. 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Целесообразность использования тех или иных систем определяется требованиями конкретного объекта в зависимости от задач, выполняемых системой на объекте, его геометрических характеристик, необходимости возможностей переконфигурирования и перепрограммирования системы и т. д.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Основной составляющей систем автоматического пожаротушения являются автоматические пожарные извещатели.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 xml:space="preserve">Выбор типа точечного дымового пожарного извещателя рекомендуется производить в соответствии с его способностью обнаруживать различные типы дымов, которая может быть определена по ГОСТ Р 50898. Пожарные извещатели пламени следует применять, если в зоне контроля в случае возникновения пожара на его начальной стадии предполагается появление открытого пламени. 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Спектральная чувствительность извещателя пламени должна соответствовать спектру излучения пламени горючих материалов, находящихся в зоне контроля извещателя. Тепловые пожарные извещатели следует применять, если в зоне контроля в случае возникновения пожара на его начальной стадии предполагается значительное тепловыделение.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 xml:space="preserve">Дифференциальные и максимально-дифференциальные тепловые пожарные извещатели следует применять для обнаружения очага пожара, если в зоне контроля не предполагается перепадов температуры, не связанных с возникновением пожара, способных вызвать срабатывание пожарных извещателей этих типов.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Максимальные тепловые пожарные извещатели не рекомендуется применять в помещениях: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° с низкими температурами (ниже 0 oС);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с хранением материальных и культурных ценностей.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При выборе тепловых пожарных извещателей следует учитывать, что температура срабатывания максимальных и максимально-дифференциальных извещателей должна быть не менее чем на 20 oС выше максимально допустимой температуры воздуха в помещении.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Газовые пожарные извещатели рекомендуется применять, если в зоне контроля в случае возникновения пожара на его начальной стадии предполагается выделение определенного вида газов в концентрациях, которые могут вызвать срабатывание извещателей. Газовые пожарные извещатели не следует применять в помещениях, в которых в отсутствие пожара могут появляться газы в концентрациях, вызывающих срабатывание извещателей.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В том случае, когда в зоне контроля доминирующий фактор пожара не определен, рекомендуется применять комбинацию пожарных извещателей, реагирующих на различные факторы пожара, или комбинированные пожарные извещатели.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Пожарные извещатели следует применять в соответствии с требованиями государственных стандартов, норм пожарной безопасности, технической документации и с учетом климатических, механических, электромагнитных и других воздействий в местах их размещения.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Пожарные извещатели, предназначенные для выдачи извещения для управления АУП, дымоудаления, оповещения о пожаре, должны быть устойчивы к воздействию электромагнитных помех со степенью жесткости не ниже второй по НПБ 57-97.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Дымовые пожарные извещатели, питаемые по шлейфу пожарной сигнализации и имеющие встроенный звуковой оповещатель, рекомендуется применять для оперативного, локального оповещения и определения места пожара в помещениях, в которых одновременно выполняются следующие условия: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основным фактором возникновения очага загорания в начальной стадии является появление дыма;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° в защищаемых помещениях возможно присутствие людей.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Такие извещатели должны включаться в единую систему пожарной сигнализации с выводом тревожных извещений на прибор приемно-контрольный пожарный, расположенный в помещении дежурного персонала.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Требования к организации зон контроля пожарной сигнализации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Одним шлейфом пожарной сигнализации с пожарными извещателями, не имеющими адреса, допускается оборудовать зону контроля, включающую: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помещения, расположенные на разных этажах, при суммарной площади помещений 300 м2 и менее;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до десяти изолированных и смежных помещений, суммарной площадью не более 1600 м2, расположенных на одном этаже здания, при этом изолированные помещения должны иметь выход в общий коридор, холл, вестибюль и т. п.;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° до двадцати изолированных и смежных помещений, суммарной площадью не более 1600 м2, расположенных на одном этаже здания, при этом изолированные помещения должны иметь выход в общий коридор, холл, вестибюль и т. п., при наличии выносной световой сигнализации о срабатывании пожарных извещателей над входом в каждое контролируемое помещение.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Максимальное количество и площадь помещений, защищаемых одним кольцевым или радиальным шлейфом с адресными пожарными извещателями, определяется техническими возможностями приемно-контрольной аппаратуры, техническими характеристиками включаемых в шлейф извещателей и не зависит от расположения помещений в здании.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Размещение пожарных извещателей</w:t>
      </w:r>
    </w:p>
    <w:p w:rsidR="00C24DA9" w:rsidRDefault="00C24DA9" w:rsidP="00C24DA9">
      <w:pPr>
        <w:spacing w:before="120"/>
        <w:ind w:firstLine="567"/>
        <w:jc w:val="both"/>
      </w:pPr>
      <w:r w:rsidRPr="007E27BC">
        <w:t xml:space="preserve">Количество автоматических пожарных извещателей определяется необходимостью обнаружения загораний по всей контролируемой площади помещений (зон), а для извещателей пламени - и оборудования. В каждом защищаемом помещении следует устанавливать не менее двух пожарных извещателей.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В защищаемом помещении допускается устанавливать один пожарный извещатель, если одновременно выполняются следующие условия: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а) площадь помещения не больше площади, защищаемой пожарным извещателем, указанной в технической документации на него, и не больше средней площади, указанной в таблицах 5, 8;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б) обеспечивается автоматический контроль работоспособности пожарного извещателя, подтверждающий выполнение им своих функций с выдачей извещения о неисправности на приемно-контрольный прибор;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в) обеспечивается идентификация неисправного извещателя приемно-контрольным прибором;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г) по сигналу с пожарного извещателя не формируется сигнал на запуск аппаратуры управления, производящей включение автоматических установок пожаротушения или дымоудаления или систем оповещения о пожаре 5-го типа по НПБ 104.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Точечные пожарные извещатели, кроме извещателей пламени, следует устанавливать, как правило, под перекрытием. При невозможности установки извещателей непосредственно под перекрытием допускается их установка на стенах, колоннах и других несущих строительных конструкциях, а также крепление на тросах.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При установке точечных пожарных извещателей под перекрытием их следует размещать на расстоянии от стен не менее 0,1 м.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При установке точечных пожарных извещателей на стенах, специальной арматуре или креплении на тросах их следует размещать на расстоянии не менее 0,1 м от стен и на расстоянии от 0,1 до 0,3 м от перекрытия, включая габариты извещателя. При подвеске извещателей на тросе должны быть обеспечены их устойчивые положение и ориентация </w:t>
      </w:r>
      <w:r>
        <w:t xml:space="preserve"> </w:t>
      </w:r>
      <w:r w:rsidRPr="007E27BC">
        <w:t>в пространстве.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Размещение точечных тепловых и дымовых пожарных извещателей следует производить с учетом воздушных потоков в защищаемом помещении, вызываемых приточной или вытяжной вентиляцией, при этом расстояние от извещателя до вентиляционного отверстия должно быть не менее 1 м.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Точечные дымовые и тепловые пожарные извещатели следует устанавливать в каждом отсеке потолка шириной 0,75 м и более, ограниченном строительными конструкциями (балками, прогонами, ребрами плит и т. п.), выступающими от потолка на расстояние более 0,4 м. Если строительные конструкции выступают от потолка на расстояние более 0,4 м, а образуемые ими отсеки по ширине меньше 0,75 м, контролируемая пожарными извещателями площадь, указанная в таблицах 5, 8, уменьшается на 40 %. При наличии на потолке выступающих частей от 0,08 до 0,4 м контролируемая пожарными извещателями площадь, указанная в таблицах 5, 8, уменьшается на 25 %.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При наличии в контролируемом помещении коробов, технологических площадок шириной 0,75 м и более, имеющих сплошную конструкцию, отстоящую по нижней отметке от потолка на расстоянии более 0,4 м и не менее 1,3 м от плоскости пола, под ними необходимо дополнительно устанавливать пожарные извещатели.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Точечные дымовые и тепловые пожарные извещатели следует устанавливать в каждом отсеке помещения, образованном штабелями материалов, стеллажами, оборудованием и строительными конструкциями, верхние края которых отстоят от потолка на 0,6 м и менее.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1,7 м расстояние между извещателями, указанные в таблице 5, допускается увеличивать в 1,5 раза.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Пожарные извещатели, установленные под фальшполом, над фальшпотолком, должны быть адресными, либо подключены к самостоятельным шлейфам пожарной сигнализации и должна быть обеспечена возможность определения их места расположения. Конструкция перекрытий фальшпола и фальшпотолка должна обеспечивать доступ к пожарным извещателям для их обслуживания.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Установку пожарных извещателей следует производить в соответствии с требованиями технической документации на данный извещатель.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В местах, где имеется опасность механического повреждения извещателя, должна быть предусмотрена защитная конструкция, не нарушающая его работоспособности и эффективности обнаружения загорания.</w:t>
      </w:r>
    </w:p>
    <w:tbl>
      <w:tblPr>
        <w:tblW w:w="5000" w:type="pct"/>
        <w:tblCellSpacing w:w="7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87"/>
        <w:gridCol w:w="2809"/>
        <w:gridCol w:w="2466"/>
        <w:gridCol w:w="2094"/>
      </w:tblGrid>
      <w:tr w:rsidR="00C24DA9" w:rsidRPr="007E27BC">
        <w:trPr>
          <w:tblCellSpacing w:w="7" w:type="dxa"/>
        </w:trPr>
        <w:tc>
          <w:tcPr>
            <w:tcW w:w="4977" w:type="pct"/>
            <w:gridSpan w:val="4"/>
            <w:shd w:val="clear" w:color="auto" w:fill="000066"/>
            <w:vAlign w:val="center"/>
          </w:tcPr>
          <w:p w:rsidR="00C24DA9" w:rsidRPr="007E27BC" w:rsidRDefault="00C24DA9" w:rsidP="00AC6F6D">
            <w:r w:rsidRPr="007E27BC">
              <w:t xml:space="preserve">Таблица 1 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Высота защищаемого помещения,м</w:t>
            </w:r>
          </w:p>
        </w:tc>
        <w:tc>
          <w:tcPr>
            <w:tcW w:w="1436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Средняя площадь, контролируемая одним извещателем,м2</w:t>
            </w:r>
          </w:p>
        </w:tc>
        <w:tc>
          <w:tcPr>
            <w:tcW w:w="2302" w:type="pct"/>
            <w:gridSpan w:val="2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Максимальное расстояние, м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436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260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между извещателями</w:t>
            </w:r>
          </w:p>
        </w:tc>
        <w:tc>
          <w:tcPr>
            <w:tcW w:w="1031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от извещателя до стены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3,5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85</w:t>
            </w:r>
          </w:p>
        </w:tc>
        <w:tc>
          <w:tcPr>
            <w:tcW w:w="126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9,0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4,5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Св. 3,5 до 6,0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70</w:t>
            </w:r>
          </w:p>
        </w:tc>
        <w:tc>
          <w:tcPr>
            <w:tcW w:w="126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8,5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4,0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Св. 6,0 до 10,0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65</w:t>
            </w:r>
          </w:p>
        </w:tc>
        <w:tc>
          <w:tcPr>
            <w:tcW w:w="126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8,0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4,0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1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10,5 до 12,0 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До 55 </w:t>
            </w:r>
          </w:p>
        </w:tc>
        <w:tc>
          <w:tcPr>
            <w:tcW w:w="126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7,5 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3,5</w:t>
            </w:r>
          </w:p>
        </w:tc>
      </w:tr>
    </w:tbl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В случае установки в одной зоне контроля разнотипных пожарных извещателей, их размещение производится в соответствии с требованиями настоящих норм на каждый тип извещателя.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Точечные дымовые пожарные извещатели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Площадь, контролируемая одним точечным дымовым пожарным извещателем, а также максимальное расстояние между извещателями и извещателем и стеной, необходимо определять по таблице 1, но, не превышая величин, указанных в технических условиях и паспортах на извещатели.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Линейные дымовые пожарные извещатели</w:t>
      </w:r>
    </w:p>
    <w:tbl>
      <w:tblPr>
        <w:tblW w:w="5000" w:type="pct"/>
        <w:tblCellSpacing w:w="7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05"/>
        <w:gridCol w:w="3520"/>
        <w:gridCol w:w="3631"/>
      </w:tblGrid>
      <w:tr w:rsidR="00C24DA9" w:rsidRPr="007E27BC">
        <w:trPr>
          <w:tblCellSpacing w:w="7" w:type="dxa"/>
        </w:trPr>
        <w:tc>
          <w:tcPr>
            <w:tcW w:w="4986" w:type="pct"/>
            <w:gridSpan w:val="3"/>
            <w:shd w:val="clear" w:color="auto" w:fill="000066"/>
            <w:vAlign w:val="center"/>
          </w:tcPr>
          <w:p w:rsidR="00C24DA9" w:rsidRPr="007E27BC" w:rsidRDefault="00C24DA9" w:rsidP="00AC6F6D">
            <w:r w:rsidRPr="007E27BC">
              <w:t>Таблица 2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328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 xml:space="preserve">Высота установки извещателя,м </w:t>
            </w:r>
          </w:p>
        </w:tc>
        <w:tc>
          <w:tcPr>
            <w:tcW w:w="1802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 xml:space="preserve">Максимальное расстояние между оптическими осями извещателей,м </w:t>
            </w:r>
          </w:p>
        </w:tc>
        <w:tc>
          <w:tcPr>
            <w:tcW w:w="1840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Максимальное расстояние от оптической оси извещателя до стены,м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32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3,5</w:t>
            </w:r>
          </w:p>
        </w:tc>
        <w:tc>
          <w:tcPr>
            <w:tcW w:w="180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9,0</w:t>
            </w:r>
          </w:p>
        </w:tc>
        <w:tc>
          <w:tcPr>
            <w:tcW w:w="184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4,5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32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3,5 до 6,0 </w:t>
            </w:r>
          </w:p>
        </w:tc>
        <w:tc>
          <w:tcPr>
            <w:tcW w:w="180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8,5</w:t>
            </w:r>
          </w:p>
        </w:tc>
        <w:tc>
          <w:tcPr>
            <w:tcW w:w="184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4,0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32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6,0 до 10,0 </w:t>
            </w:r>
          </w:p>
        </w:tc>
        <w:tc>
          <w:tcPr>
            <w:tcW w:w="180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8,0</w:t>
            </w:r>
          </w:p>
        </w:tc>
        <w:tc>
          <w:tcPr>
            <w:tcW w:w="184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4,0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32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10, 0 до 12,0 </w:t>
            </w:r>
          </w:p>
        </w:tc>
        <w:tc>
          <w:tcPr>
            <w:tcW w:w="180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7,5 </w:t>
            </w:r>
          </w:p>
        </w:tc>
        <w:tc>
          <w:tcPr>
            <w:tcW w:w="184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3,5</w:t>
            </w:r>
          </w:p>
        </w:tc>
      </w:tr>
    </w:tbl>
    <w:p w:rsidR="00C24DA9" w:rsidRPr="007E27BC" w:rsidRDefault="00C24DA9" w:rsidP="00C24DA9">
      <w:pPr>
        <w:spacing w:before="120"/>
        <w:ind w:firstLine="567"/>
        <w:jc w:val="both"/>
      </w:pPr>
      <w:r w:rsidRPr="007E27BC">
        <w:t>Излучатель и приемник линейного дымового пожарного извещателя следует устанавливать на стенах, перегородках, колоннах и других конструкциях таким образом, чтобы их оптическая ось проходила на расстоянии не менее 0,1 м от уровня перекрытия. Они размещатся на строительных конструкциях помещения таким образом, чтобы в зону обнаружения пожарного извещателя не попадали различные объекты при его эксплуатации. Расстояние между излучателем и приемником определяется технической характеристикой пожарного извещателя. При контроле защищаемой зоны двумя и более линейными дымовыми пожарными извещателями, максимальное расстояние между их параллельными оптическими осями, оптической осью и стеной в зависимости от высоты установки блоков пожарных извещателей т определятся по таблице 2. В помещениях высотой свыше 12 и до 18 м извещатели следует, как правило, устанавливать в два яруса, в соответствии с таблицей 3, при этом:</w:t>
      </w:r>
    </w:p>
    <w:tbl>
      <w:tblPr>
        <w:tblW w:w="5000" w:type="pct"/>
        <w:tblCellSpacing w:w="7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17"/>
        <w:gridCol w:w="1647"/>
        <w:gridCol w:w="2088"/>
        <w:gridCol w:w="2022"/>
        <w:gridCol w:w="1882"/>
      </w:tblGrid>
      <w:tr w:rsidR="00C24DA9" w:rsidRPr="007E27BC">
        <w:trPr>
          <w:tblCellSpacing w:w="7" w:type="dxa"/>
        </w:trPr>
        <w:tc>
          <w:tcPr>
            <w:tcW w:w="4980" w:type="pct"/>
            <w:gridSpan w:val="5"/>
            <w:shd w:val="clear" w:color="auto" w:fill="000066"/>
            <w:vAlign w:val="center"/>
          </w:tcPr>
          <w:p w:rsidR="00C24DA9" w:rsidRPr="007E27BC" w:rsidRDefault="00C24DA9" w:rsidP="00AC6F6D">
            <w:r w:rsidRPr="007E27BC">
              <w:t>Таблица 3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079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Высота защищаемого помещения,м</w:t>
            </w:r>
          </w:p>
        </w:tc>
        <w:tc>
          <w:tcPr>
            <w:tcW w:w="841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Ярус</w:t>
            </w:r>
          </w:p>
        </w:tc>
        <w:tc>
          <w:tcPr>
            <w:tcW w:w="1068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 xml:space="preserve">Высота установки извещателя,м </w:t>
            </w:r>
          </w:p>
        </w:tc>
        <w:tc>
          <w:tcPr>
            <w:tcW w:w="1962" w:type="pct"/>
            <w:gridSpan w:val="2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Максимальное расстояние, м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079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841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068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034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Между оптическими осями ЛДПИ</w:t>
            </w:r>
          </w:p>
        </w:tc>
        <w:tc>
          <w:tcPr>
            <w:tcW w:w="918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от оптической оси ЛДПИ до стены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079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Св. 12,0 до 18,0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1 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1,5-2 от уровня пожарной нагрузки, не менее 4 от плоскости пола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7,5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3,5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079" w:type="pct"/>
            <w:shd w:val="clear" w:color="auto" w:fill="FFFFFF"/>
            <w:vAlign w:val="center"/>
          </w:tcPr>
          <w:p w:rsidR="00C24DA9" w:rsidRPr="007E27BC" w:rsidRDefault="00C24DA9" w:rsidP="00AC6F6D">
            <w:r>
              <w:t xml:space="preserve"> 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2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Не более 0,4 от покрытия 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7,5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3,5</w:t>
            </w:r>
          </w:p>
        </w:tc>
      </w:tr>
    </w:tbl>
    <w:p w:rsidR="00C24DA9" w:rsidRPr="007E27BC" w:rsidRDefault="00C24DA9" w:rsidP="00C24DA9">
      <w:pPr>
        <w:spacing w:before="120"/>
        <w:ind w:firstLine="567"/>
        <w:jc w:val="both"/>
      </w:pPr>
      <w:r w:rsidRPr="007E27BC">
        <w:t>° первый ярус извещателей следует располагать на расстоянии 1,5-2 м от верхнего уровня пожарной нагрузки, но не менее 4 м от плоскости пола;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второй ярус извещателей следует располагать на расстоянии не более 0,4 м от уровня перекрытия.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Извещатели следует устанавливать таким образом, чтобы минимальное расстояние от его оптической оси до стен и окружающих предметов было не менее 0,5 м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Тепловые точечные пожарные извещателиПлощадь, контролируемая одним точечным тепловым пожарным извещателем, а также максимальное расстояние между извещателями и извещателем и стеной, определятся по таблице 4, но, не превышая величин, указанных в технических условиях и паспортах на извещатели. </w:t>
      </w:r>
    </w:p>
    <w:tbl>
      <w:tblPr>
        <w:tblW w:w="5000" w:type="pct"/>
        <w:tblCellSpacing w:w="7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8"/>
        <w:gridCol w:w="2797"/>
        <w:gridCol w:w="2455"/>
        <w:gridCol w:w="2086"/>
      </w:tblGrid>
      <w:tr w:rsidR="00C24DA9" w:rsidRPr="007E27BC">
        <w:trPr>
          <w:tblCellSpacing w:w="7" w:type="dxa"/>
        </w:trPr>
        <w:tc>
          <w:tcPr>
            <w:tcW w:w="4977" w:type="pct"/>
            <w:gridSpan w:val="4"/>
            <w:shd w:val="clear" w:color="auto" w:fill="000066"/>
            <w:vAlign w:val="center"/>
          </w:tcPr>
          <w:p w:rsidR="00C24DA9" w:rsidRPr="007E27BC" w:rsidRDefault="00C24DA9" w:rsidP="00AC6F6D">
            <w:r w:rsidRPr="007E27BC">
              <w:t>Таблица 4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32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Высота Защищаемого помещения,м</w:t>
            </w:r>
          </w:p>
        </w:tc>
        <w:tc>
          <w:tcPr>
            <w:tcW w:w="1430" w:type="pct"/>
            <w:vMerge w:val="restar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 xml:space="preserve">Средняя площадь, контролируемая одним извещателем,м2 </w:t>
            </w:r>
          </w:p>
        </w:tc>
        <w:tc>
          <w:tcPr>
            <w:tcW w:w="2292" w:type="pct"/>
            <w:gridSpan w:val="2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Максимальное расстояние, м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32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430" w:type="pct"/>
            <w:vMerge/>
            <w:shd w:val="clear" w:color="auto" w:fill="FFFFFF"/>
            <w:vAlign w:val="center"/>
          </w:tcPr>
          <w:p w:rsidR="00C24DA9" w:rsidRPr="007E27BC" w:rsidRDefault="00C24DA9" w:rsidP="00AC6F6D"/>
        </w:tc>
        <w:tc>
          <w:tcPr>
            <w:tcW w:w="1254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между извещателями</w:t>
            </w:r>
          </w:p>
        </w:tc>
        <w:tc>
          <w:tcPr>
            <w:tcW w:w="1027" w:type="pct"/>
            <w:shd w:val="clear" w:color="auto" w:fill="F2F2F2"/>
            <w:vAlign w:val="center"/>
          </w:tcPr>
          <w:p w:rsidR="00C24DA9" w:rsidRPr="007E27BC" w:rsidRDefault="00C24DA9" w:rsidP="00AC6F6D">
            <w:r w:rsidRPr="007E27BC">
              <w:t>от извещателя до стены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3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3,5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25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5,0 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2,5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3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3,5 до 6,0 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20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4,5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2,0</w:t>
            </w:r>
          </w:p>
        </w:tc>
      </w:tr>
      <w:tr w:rsidR="00C24DA9" w:rsidRPr="007E27BC" w:rsidTr="00AC6F6D">
        <w:trPr>
          <w:tblCellSpacing w:w="7" w:type="dxa"/>
        </w:trPr>
        <w:tc>
          <w:tcPr>
            <w:tcW w:w="1232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 xml:space="preserve">Св. 6,0 до 9,0 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До 15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4,0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C24DA9" w:rsidRPr="007E27BC" w:rsidRDefault="00C24DA9" w:rsidP="00AC6F6D">
            <w:r w:rsidRPr="007E27BC">
              <w:t>2,0</w:t>
            </w:r>
          </w:p>
        </w:tc>
      </w:tr>
    </w:tbl>
    <w:p w:rsidR="00C24DA9" w:rsidRPr="007E27BC" w:rsidRDefault="00C24DA9" w:rsidP="00C24DA9">
      <w:pPr>
        <w:spacing w:before="120"/>
        <w:ind w:firstLine="567"/>
        <w:jc w:val="both"/>
      </w:pPr>
      <w:r w:rsidRPr="007E27BC">
        <w:t>Точечные тепловые пожарные извещатели следует располагать на расстоянии не менее 500 мм от теплоизлучающих светильников.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Линейные тепловые пожарные извещатели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Линейные тепловые пожарные извещатели (термокабель), следует, как правило, прокладывать в непосредственном контакте с пожарной нагрузкой. Линейные тепловые пожарные извещатели допускается устанавливать под перекрытием над пожарной нагрузкой, в соответствии с таблицей 8, при этом, значения величин, указанных в таблице, не должны превышать соответствующих значений величин, указанных в технической документации изготовителя.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Расстояние от извещателя до перекрытия должно быть не менее 15мм.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 xml:space="preserve">При стеллажном хранении материалов допускается прокладывать извещатели по верху ярусов и стеллажей. 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Извещатели пламени</w:t>
      </w:r>
    </w:p>
    <w:p w:rsidR="00C24DA9" w:rsidRDefault="00C24DA9" w:rsidP="00C24DA9">
      <w:pPr>
        <w:spacing w:before="120"/>
        <w:ind w:firstLine="567"/>
        <w:jc w:val="both"/>
      </w:pPr>
      <w:r w:rsidRPr="007E27BC">
        <w:t>Пожарные извещатели пламени должны устанавливаться на перекрытиях, стенах и других строительных конструкциях зданий и сооружений, а также на технологическом оборудовании. Размещение извещателей пламени необходимо производить с учетом исключения возможных воздействий оптических помех.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Каждая точка защищаемой поверхности должна контролироваться не менее чем двумя извещателями пламени, а расположение извещателей должно обеспечивать контроль защищаемой поверхности, как правило, с противоположных направлений. Контролируемую извещателем пламени площадь помещения или оборудования следует определять, исходя из значения угла обзора извещателя и в соответствии с его классом по НПБ 72-98 (максимальной дальностью обнаружения пламени горючего материала), указанным в технической документации.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Ручные пожарные извещатели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Ручные пожарные извещатели следует устанавливать на стенах и конструкциях на высоте 1,5 м от уровня земли или пола, в местах, удалённых от электромагнитов, постоянных магнитов, и других устройств, воздействие которых может вызвать самопроизвольное срабатывание ручного пожарного извещателя (требование распространяется на ручные пожарные извещатели, срабатывание которого происходит при переключении магнитоуправляемого контакта) на расстоянии: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не более 50 м друг от друга внутри зданий;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не более 150 м друг от друга вне зданий;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не менее 0,75м до извещателя не должно быть различных органов управления и предметов, препятствующих доступу к извещателю.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Освещенность в месте установки ручного пожарного извещателя должна быть не менее 50 лк.</w:t>
      </w:r>
    </w:p>
    <w:p w:rsidR="00C24DA9" w:rsidRPr="007E27BC" w:rsidRDefault="00C24DA9" w:rsidP="00C24DA9">
      <w:pPr>
        <w:spacing w:before="120"/>
        <w:jc w:val="center"/>
        <w:rPr>
          <w:b/>
          <w:bCs/>
          <w:sz w:val="28"/>
          <w:szCs w:val="28"/>
        </w:rPr>
      </w:pPr>
      <w:r w:rsidRPr="007E27BC">
        <w:rPr>
          <w:b/>
          <w:bCs/>
          <w:sz w:val="28"/>
          <w:szCs w:val="28"/>
        </w:rPr>
        <w:t>Газовые пожарные извещатели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Газовые пожарные извещатели рекомендуется устанавливать в помещениях на потолке, стенах и других строительных конструкциях зданий и сооружений в соответствии с инструкцией по эксплуатации этих извещателей и рекомендациями специализированных организаций.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Приборы приемно-контрольные пожарные, приборы управления пожарные. аппаратура и ее размещение</w:t>
      </w:r>
    </w:p>
    <w:p w:rsidR="00C24DA9" w:rsidRDefault="00C24DA9" w:rsidP="00C24DA9">
      <w:pPr>
        <w:spacing w:before="120"/>
        <w:ind w:firstLine="567"/>
        <w:jc w:val="both"/>
      </w:pPr>
      <w:r w:rsidRPr="007E27BC">
        <w:t xml:space="preserve">Приборы приемно-контрольные, приборы управления и другое оборудование применятся в соответствии с требованиями государственных стандартов, норм пожарной безопасности, технической документации и с учетом климатических, механических, электромагнитных и других воздействий в местах их размещения. Приборы, по сигналу с которых производится запуск автоматической установки пожаротушения или дымоудаления или оповещения о пожаре, должны быть устойчивы к воздействию внешних помех со степенью жесткости не ниже второй по НПБ 57. Резерв емкости приемно-контрольных приборов (количество шлейфов), предназначенных для работы с неадресными пожарными извещателями, применяемых совместно с автоматическими установками пожаротушения, должен быть не менее 10 % при числе шлейфов 10 и более. ППК, как правило, следует устанавливать в помещении с круглосуточным пребыванием дежурного персонала. В обоснованных случаях допускается установка этих приборов в помещениях без персонала, ведущего круглосуточное дежурство, при обеспечении раздельной передачи извещений о пожаре и о неисправности в помещение с персоналом, ведущим круглосуточное дежурство, и обеспечении контроля каналов передачи извещений. В указанном случае, помещение, где установлены приборы, должно быть оборудовано охранной и пожарной сигнализацией и защищено от несанкционированного доступа. Приборы приемно-контрольные и приборы управления с устанавливатся на стенах, перегородках и конструкциях, изготовленных из негорючих материалов. Установка указанного оборудования допускается на конструкциях, выполненных из горючих материалов, при условии защиты этих конструкций стальным листом толщиной не менее 1 мм или другим листовым негорючим материалом толщиной не менее 10 мм. При этом листовой материал должен выступать за контур устанавливаемого оборудования не менее, чем на 100 мм. 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Расстояние от верхнего края приемно-контрольного прибора и прибора управления до перекрытия помещения, выполненного из горючих материалов, должно быть не менее 1 м. При смежном расположении нескольких приемно-контрольных приборов и приборов управления расстояние между ними должно быть не менее 50 мм. Приборы приемно-контрольные и приборы управления следует размещать таким образом, чтобы высота от уровня пола до оперативных органов управления указанной аппаратуры была 0,8-1,5 м. Помещение пожарного поста или помещение с персоналом, ведущим круглосуточное дежурство, должно располагаться, как правило, на первом или в цокольном этаже здания. Допускается размещение указанного помещения выше первого этажа, при этом выход из него должен быть в вестибюль или коридор, примыкающий к лестничной клетке, имеющей непосредственный выход наружу здания. Расстояние от двери помещения пожарного поста или помещения с персоналом, ведущим круглосуточное дежурство, до лестничной клетки ведущей наружу, не должно превышать, как правило, 25 м. Помещение пожарного поста или помещение с персоналом, ведущим круглосуточное дежурство, должно обладать следующими характеристиками: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площадь, как правило, не менее 15 м2;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температура воздуха в пределах 18-25 oС при относительной влажности не более 80 %;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наличие естественного и искусственного освещения, а также аварийного освещения, которое должно соответствовать СНиП 23.05-95;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освещенность помещений: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при естественном освещении - не менее 100 лк;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от люминесцентных ламп - не менее 150 лк;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от ламп накаливания - не менее 100 лк;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при аварийном освещении - не менее 50 лк;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наличие естественной или искусственной вентиляции согласно СНиП 2.04.05-91;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наличие телефонной связи с пожарной частью объекта или населенного пункта.</w:t>
      </w:r>
    </w:p>
    <w:p w:rsidR="00C24DA9" w:rsidRPr="007E27BC" w:rsidRDefault="00C24DA9" w:rsidP="00C24DA9">
      <w:pPr>
        <w:spacing w:before="120"/>
        <w:ind w:firstLine="567"/>
        <w:jc w:val="both"/>
      </w:pPr>
      <w:r w:rsidRPr="007E27BC">
        <w:t>° не должны устанавливаться аккумуляторные батареи резервного питания кроме герметизированных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A9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E27BC"/>
    <w:rsid w:val="008C19D7"/>
    <w:rsid w:val="00A44D32"/>
    <w:rsid w:val="00AC6F6D"/>
    <w:rsid w:val="00B64723"/>
    <w:rsid w:val="00C24DA9"/>
    <w:rsid w:val="00E12572"/>
    <w:rsid w:val="00E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11A06A-276E-47B7-BFC7-354CFCA3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4DA9"/>
    <w:rPr>
      <w:color w:val="0000FF"/>
      <w:u w:val="single"/>
    </w:rPr>
  </w:style>
  <w:style w:type="character" w:styleId="a4">
    <w:name w:val="FollowedHyperlink"/>
    <w:basedOn w:val="a0"/>
    <w:uiPriority w:val="99"/>
    <w:rsid w:val="00C24D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16521</Characters>
  <Application>Microsoft Office Word</Application>
  <DocSecurity>0</DocSecurity>
  <Lines>137</Lines>
  <Paragraphs>38</Paragraphs>
  <ScaleCrop>false</ScaleCrop>
  <Company>Home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Cистемы пожарной сигнализации</dc:title>
  <dc:subject/>
  <dc:creator>Alena</dc:creator>
  <cp:keywords/>
  <dc:description/>
  <cp:lastModifiedBy>admin</cp:lastModifiedBy>
  <cp:revision>2</cp:revision>
  <dcterms:created xsi:type="dcterms:W3CDTF">2014-02-19T20:37:00Z</dcterms:created>
  <dcterms:modified xsi:type="dcterms:W3CDTF">2014-02-19T20:37:00Z</dcterms:modified>
</cp:coreProperties>
</file>