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95" w:rsidRPr="000F1ABA" w:rsidRDefault="002B7295" w:rsidP="002B7295">
      <w:pPr>
        <w:spacing w:before="120"/>
        <w:jc w:val="center"/>
        <w:rPr>
          <w:b/>
          <w:bCs/>
          <w:sz w:val="32"/>
          <w:szCs w:val="32"/>
        </w:rPr>
      </w:pPr>
      <w:bookmarkStart w:id="0" w:name="_Toc105899426"/>
      <w:r w:rsidRPr="000F1ABA">
        <w:rPr>
          <w:b/>
          <w:bCs/>
          <w:sz w:val="32"/>
          <w:szCs w:val="32"/>
        </w:rPr>
        <w:t>Алгоритмизация системы управления маркетингом предприятия сферы услуг</w:t>
      </w:r>
      <w:bookmarkEnd w:id="0"/>
    </w:p>
    <w:p w:rsidR="002B7295" w:rsidRPr="00CB0E8E" w:rsidRDefault="002B7295" w:rsidP="002B7295">
      <w:pPr>
        <w:spacing w:before="120"/>
        <w:jc w:val="center"/>
        <w:rPr>
          <w:sz w:val="28"/>
          <w:szCs w:val="28"/>
        </w:rPr>
      </w:pPr>
      <w:bookmarkStart w:id="1" w:name="_Toc105899415"/>
      <w:r w:rsidRPr="00CB0E8E">
        <w:rPr>
          <w:sz w:val="28"/>
          <w:szCs w:val="28"/>
        </w:rPr>
        <w:t xml:space="preserve">Созинов Андрей Сергеевич </w:t>
      </w:r>
    </w:p>
    <w:bookmarkEnd w:id="1"/>
    <w:p w:rsidR="002B7295" w:rsidRPr="00E16019" w:rsidRDefault="002B7295" w:rsidP="002B7295">
      <w:pPr>
        <w:spacing w:before="120"/>
        <w:ind w:firstLine="567"/>
        <w:jc w:val="both"/>
      </w:pPr>
      <w:r w:rsidRPr="00E16019">
        <w:t>Применение процессного управления предполагает введение функциональных зависимостей между факторами, описывающими функционирование системы маркетинга предприятия сферы услуг в соответствующем сегменте рынка. Введем следующие допущения: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Будем считать, что уровень инфляции составляет в год </w:t>
      </w:r>
      <w:r w:rsidR="009D4F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.5pt;height:18pt">
            <v:imagedata r:id="rId4" o:title=""/>
          </v:shape>
        </w:pict>
      </w:r>
      <w:r w:rsidRPr="00E16019">
        <w:t xml:space="preserve">, где i – год моделирования. Тогда стоимость одной транспортно-экспедиторской услуги </w:t>
      </w:r>
      <w:r w:rsidR="009D4F1C">
        <w:pict>
          <v:shape id="_x0000_i1026" type="#_x0000_t75" alt="" style="width:25.5pt;height:13.5pt">
            <v:imagedata r:id="rId5" o:title=""/>
          </v:shape>
        </w:pict>
      </w:r>
      <w:r w:rsidRPr="00E16019">
        <w:t>в течение одного шага моделирования T (обычно считают равным его одному году) изменяется по формуле:</w: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27" type="#_x0000_t75" alt="" style="width:150pt;height:30.75pt">
            <v:imagedata r:id="rId6" o:title=""/>
          </v:shape>
        </w:pic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где индекс 1 соответствует конечному моменту моделирования, а 0 начальному. Эту формулу считаем выполняющейся для всего перечня транспортно-экспедиторских услуг фирмы. 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Составим эмпирические уравнения для всех блоков, введенных в предыдущем параграфе.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Блок “Нужда”.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MSP –рынок возможных транспортно-экспедиторских услуг. Отдел маркетинга может обеспечить только часть из них в соответствии со стандартом STD. Под стандартом мы будем понимать перечень услуг, входящих в прайс-лист возможных услуг фирмы. Тогда имеем: если услуга </w:t>
      </w:r>
      <w:r w:rsidR="009D4F1C">
        <w:pict>
          <v:shape id="_x0000_i1028" type="#_x0000_t75" alt="" style="width:57.75pt;height:13.5pt">
            <v:imagedata r:id="rId7" o:title=""/>
          </v:shape>
        </w:pict>
      </w:r>
      <w:r w:rsidRPr="00E16019">
        <w:t>, то функция принимает значение 1, в противном случае 0. Задача отдела маркетинга расширять перечень оказываемых транспортно-экспедиторских услуг, в соответствии с возможностями фирмы и потребностями рынка. В соответствии с этим имеем:</w: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29" type="#_x0000_t75" alt="" style="width:171.75pt;height:18pt">
            <v:imagedata r:id="rId8" o:title=""/>
          </v:shape>
        </w:pic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30" type="#_x0000_t75" alt="" style="width:39pt;height:16.5pt">
            <v:imagedata r:id="rId9" o:title=""/>
          </v:shape>
        </w:pict>
      </w:r>
      <w:r w:rsidR="002B7295" w:rsidRPr="00E16019">
        <w:t>темп увеличения номенклатуры прайс-листа (в дальнейшем всегда со знаком “+” будем обозначать темпы увеличения, а со знаком “–” соответствующие темпы уменьшения. Темп увеличения определяется скоростью появления нового вида услуг на рынке и возможностью фирмы их выполнить (наличием денежных средств и материально-технического обеспечения для подготовки новой услуги), а темп уменьшения соответствующей скоростью уменьшения (невостребованностью).</w: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31" type="#_x0000_t75" alt="" style="width:32.25pt;height:13.5pt">
            <v:imagedata r:id="rId10" o:title=""/>
          </v:shape>
        </w:pict>
      </w:r>
      <w:r w:rsidR="002B7295" w:rsidRPr="00E16019">
        <w:t>определяет портфель заказов фирмы, она пропорциональна количеству существующих клиентов фирмы и количеству потенциальных заказчиков.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Блок “Потребность”.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Обозначим: </w:t>
      </w:r>
      <w:r w:rsidR="009D4F1C">
        <w:pict>
          <v:shape id="_x0000_i1032" type="#_x0000_t75" alt="" style="width:36.75pt;height:15.75pt">
            <v:imagedata r:id="rId11" o:title=""/>
          </v:shape>
        </w:pict>
      </w:r>
      <w:r w:rsidRPr="00E16019">
        <w:t xml:space="preserve">- число клиентов фирмы, а </w:t>
      </w:r>
      <w:r w:rsidR="009D4F1C">
        <w:pict>
          <v:shape id="_x0000_i1033" type="#_x0000_t75" alt="" style="width:40.5pt;height:16.5pt">
            <v:imagedata r:id="rId12" o:title=""/>
          </v:shape>
        </w:pict>
      </w:r>
      <w:r w:rsidRPr="00E16019">
        <w:t xml:space="preserve">-темп увеличения числа клиентов, </w:t>
      </w:r>
      <w:r w:rsidR="009D4F1C">
        <w:pict>
          <v:shape id="_x0000_i1034" type="#_x0000_t75" alt="" style="width:40.5pt;height:16.5pt">
            <v:imagedata r:id="rId13" o:title=""/>
          </v:shape>
        </w:pict>
      </w:r>
      <w:r w:rsidRPr="00E16019">
        <w:t xml:space="preserve">- темп уменьшения числа. Тогда для </w:t>
      </w:r>
      <w:r w:rsidR="009D4F1C">
        <w:pict>
          <v:shape id="_x0000_i1035" type="#_x0000_t75" alt="" style="width:36.75pt;height:15.75pt">
            <v:imagedata r:id="rId11" o:title=""/>
          </v:shape>
        </w:pict>
      </w:r>
      <w:r w:rsidRPr="00E16019">
        <w:t>можно записать стандартное уравнение [94].</w: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36" type="#_x0000_t75" alt="" style="width:187.5pt;height:18pt">
            <v:imagedata r:id="rId14" o:title=""/>
          </v:shape>
        </w:pic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где </w:t>
      </w:r>
      <w:r w:rsidR="009D4F1C">
        <w:pict>
          <v:shape id="_x0000_i1037" type="#_x0000_t75" alt="" style="width:14.25pt;height:13.5pt">
            <v:imagedata r:id="rId15" o:title=""/>
          </v:shape>
        </w:pict>
      </w:r>
      <w:r w:rsidRPr="00E16019">
        <w:t>– шаг моделирования.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Темпы увеличения (уменьшения) числа клиентов представляют собой аддитивные функции, зависящие от целого комплекса факторов: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случайная составляющая, которую будем считать нормальной случайной величиной, имеющей нулевое математическое ожидание и среднеквадратическое отклонение составляющее </w:t>
      </w:r>
      <w:r w:rsidR="009D4F1C">
        <w:pict>
          <v:shape id="_x0000_i1038" type="#_x0000_t75" alt="" style="width:34.5pt;height:16.5pt">
            <v:imagedata r:id="rId16" o:title=""/>
          </v:shape>
        </w:pict>
      </w:r>
      <w:r w:rsidRPr="00E16019">
        <w:t xml:space="preserve">процентов от общего числа клиентов. Задача отдела маркетинга состоит, в том числе, в уменьшении этой случайной составляющей. </w: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39" type="#_x0000_t75" alt="" style="width:63pt;height:15pt">
            <v:imagedata r:id="rId17" o:title=""/>
          </v:shape>
        </w:pict>
      </w:r>
      <w:r w:rsidR="002B7295" w:rsidRPr="00E16019">
        <w:t xml:space="preserve">изменение числа клиентов за счет рекламной деятельности; </w: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40" type="#_x0000_t75" alt="" style="width:66.75pt;height:16.5pt">
            <v:imagedata r:id="rId18" o:title=""/>
          </v:shape>
        </w:pic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изменение числа клиентов за счет появления новых (невостребованности старых) видов услуг. Эта также случайная величина, характеризующая динамику рынка услуг. 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Блок “Предложение”.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В данном блоке организуется прайс-лист фирмы. Число транспортно-экспедиторских услуг фирмы. Он определяется следующими факторами: “производственные возможности”, т.е. наличие транспорта, складов (постоянных и временного хранения), обслуживающего персонала, необходимого количества менеджеров для обслуживания имеющегося числа клиентов. Количество менеджеров в отделе маркетинга определяется также фондом оплаты труда </w:t>
      </w:r>
      <w:r w:rsidR="009D4F1C">
        <w:pict>
          <v:shape id="_x0000_i1041" type="#_x0000_t75" alt="" style="width:16.5pt;height:18.75pt">
            <v:imagedata r:id="rId19" o:title=""/>
          </v:shape>
        </w:pict>
      </w:r>
      <w:r w:rsidRPr="00E16019">
        <w:t xml:space="preserve">. Пусть </w:t>
      </w:r>
      <w:r w:rsidR="009D4F1C">
        <w:pict>
          <v:shape id="_x0000_i1042" type="#_x0000_t75" alt="" style="width:27.75pt;height:18pt">
            <v:imagedata r:id="rId20" o:title=""/>
          </v:shape>
        </w:pict>
      </w:r>
      <w:r w:rsidRPr="00E16019">
        <w:t xml:space="preserve">– количество клиентов, приходящееся на одного менеджера, а </w:t>
      </w:r>
      <w:r w:rsidR="009D4F1C">
        <w:pict>
          <v:shape id="_x0000_i1043" type="#_x0000_t75" alt="" style="width:24pt;height:18pt">
            <v:imagedata r:id="rId21" o:title=""/>
          </v:shape>
        </w:pict>
      </w:r>
      <w:r w:rsidRPr="00E16019">
        <w:t>– средняя зарплата одного менеджера. Тогда требуемое количество менеджеров определяется формулой:</w:t>
      </w:r>
    </w:p>
    <w:tbl>
      <w:tblPr>
        <w:tblW w:w="9600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56"/>
        <w:gridCol w:w="1344"/>
      </w:tblGrid>
      <w:tr w:rsidR="002B7295" w:rsidRPr="00E16019" w:rsidTr="0025139C">
        <w:trPr>
          <w:trHeight w:val="900"/>
          <w:tblCellSpacing w:w="0" w:type="dxa"/>
        </w:trPr>
        <w:tc>
          <w:tcPr>
            <w:tcW w:w="4300" w:type="pct"/>
          </w:tcPr>
          <w:p w:rsidR="002B7295" w:rsidRPr="00E16019" w:rsidRDefault="009D4F1C" w:rsidP="0025139C">
            <w:pPr>
              <w:spacing w:before="120"/>
              <w:ind w:firstLine="567"/>
              <w:jc w:val="both"/>
            </w:pPr>
            <w:r>
              <w:pict>
                <v:shape id="_x0000_i1044" type="#_x0000_t75" alt="" style="width:132.75pt;height:37.5pt">
                  <v:imagedata r:id="rId22" o:title=""/>
                </v:shape>
              </w:pict>
            </w:r>
          </w:p>
        </w:tc>
        <w:tc>
          <w:tcPr>
            <w:tcW w:w="700" w:type="pct"/>
          </w:tcPr>
          <w:p w:rsidR="002B7295" w:rsidRPr="00E16019" w:rsidRDefault="002B7295" w:rsidP="0025139C">
            <w:pPr>
              <w:spacing w:before="120"/>
              <w:ind w:firstLine="567"/>
              <w:jc w:val="both"/>
            </w:pPr>
          </w:p>
        </w:tc>
      </w:tr>
    </w:tbl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Реальное количество менеджеров в отделе маркетинга не превышает </w:t>
      </w:r>
      <w:r w:rsidR="009D4F1C">
        <w:pict>
          <v:shape id="_x0000_i1045" type="#_x0000_t75" alt="" style="width:31.5pt;height:18pt">
            <v:imagedata r:id="rId23" o:title=""/>
          </v:shape>
        </w:pict>
      </w:r>
      <w:r w:rsidRPr="00E16019">
        <w:t>и зависит от текучести кадров. В имитационной модели реализуется форма начисления заработанной платы, предложенная во второй главе.</w: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46" type="#_x0000_t75" alt="" style="width:163.5pt;height:18.75pt">
            <v:imagedata r:id="rId24" o:title=""/>
          </v:shape>
        </w:pict>
      </w:r>
      <w:r>
        <w:pict>
          <v:shape id="_x0000_i1047" type="#_x0000_t75" alt="" style="width:9pt;height:13.5pt">
            <v:imagedata r:id="rId25" o:title=""/>
          </v:shape>
        </w:pict>
      </w:r>
      <w:r w:rsidR="002B7295" w:rsidRPr="00E16019">
        <w:t>,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где </w:t>
      </w:r>
      <w:r w:rsidR="009D4F1C">
        <w:pict>
          <v:shape id="_x0000_i1048" type="#_x0000_t75" alt="" style="width:16.5pt;height:18.75pt">
            <v:imagedata r:id="rId19" o:title=""/>
          </v:shape>
        </w:pict>
      </w:r>
      <w:r w:rsidRPr="00E16019">
        <w:t>– фонд заработной платы отдела маркетинга;</w: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49" type="#_x0000_t75" alt="" style="width:19.5pt;height:18pt">
            <v:imagedata r:id="rId26" o:title=""/>
          </v:shape>
        </w:pict>
      </w:r>
      <w:r w:rsidR="002B7295" w:rsidRPr="00E16019">
        <w:t>– базовый оклад или тариф, определяемый как постоянная составляющая заработной платы сотрудника, размер которой определяется штатным расписанием. Базовый оклад предлагается установить в размере 20-40% от средней заработной платы сотрудника, которую он имел до введения новой системы оплаты труда;</w: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50" type="#_x0000_t75" alt="" style="width:21pt;height:18pt">
            <v:imagedata r:id="rId27" o:title=""/>
          </v:shape>
        </w:pict>
      </w:r>
      <w:r w:rsidR="002B7295" w:rsidRPr="00E16019">
        <w:t xml:space="preserve">– персональная надбавка или денежное вознаграждение, устанавливаемое каждому сотруднику по представлению руководителя службы маркетинга в рамках утвержденного общего фонда на персональные надбавки всем сотрудникам службы. Размер персональной надбавки может составлять 50-60% от </w:t>
      </w:r>
      <w:r>
        <w:pict>
          <v:shape id="_x0000_i1051" type="#_x0000_t75" alt="" style="width:19.5pt;height:18pt">
            <v:imagedata r:id="rId26" o:title=""/>
          </v:shape>
        </w:pict>
      </w:r>
      <w:r w:rsidR="002B7295" w:rsidRPr="00E16019">
        <w:t>;</w: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52" type="#_x0000_t75" alt="" style="width:24pt;height:18.75pt">
            <v:imagedata r:id="rId28" o:title=""/>
          </v:shape>
        </w:pict>
      </w:r>
      <w:r w:rsidR="002B7295" w:rsidRPr="00E16019">
        <w:t>– денежное вознаграждение сотрудникам службы маркетинга за точность разработки прогноза реализации основных видов продукции и групп изделий на конкретный период времени. При определении размера вознаграждения за точность прогноза необходимо по каждому виду продукции или группе изделий установить интервал прогнозных значений (минимум – максимум).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В случае, если прогнозная оценка (интервал), данная службой маркетинга, совпадает с фактическими данными по заключенным договорам за тот же период, </w:t>
      </w:r>
      <w:r w:rsidR="009D4F1C">
        <w:pict>
          <v:shape id="_x0000_i1053" type="#_x0000_t75" alt="" style="width:24pt;height:18.75pt">
            <v:imagedata r:id="rId28" o:title=""/>
          </v:shape>
        </w:pict>
      </w:r>
      <w:r w:rsidRPr="00E16019">
        <w:t xml:space="preserve">плюсуется при расчёте вознаграждения. В противном случае эта же сумма – вычитается. Размер максимального вознаграждения/депремирования за точность прогноза не может превышать размера </w:t>
      </w:r>
      <w:r w:rsidR="009D4F1C">
        <w:pict>
          <v:shape id="_x0000_i1054" type="#_x0000_t75" alt="" style="width:21pt;height:18pt">
            <v:imagedata r:id="rId27" o:title=""/>
          </v:shape>
        </w:pict>
      </w:r>
      <w:r w:rsidRPr="00E16019">
        <w:t>;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К1 – относительный коэффициент, отражающий фактическое привлечение потребителей, заключивших договор на выполнение услуги предприятия.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При расчете коэффициента К1 за базу принимаются только заключенные с потребителями в данный период договора, независимо от фактического поступления денежных средств или других форм оплаты за выполненные услуги 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Размер данного коэффициента рассчитывается исходя из следующих критериев: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сумма договора; 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форма и порядок оплаты; 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бартер, взаимозачет, ценные бумаги и др. 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В основу расчета могут быть положены принципы действующего на предприятии положения о премирования коммерческих агентов, его размер может колебаться от 1,0 и до 1,5.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Величина коэффициента может быть увеличена/уменьшена в зависимости от категории привлеченного потребителя: “Новый”/”Старый” (известный/ранее сотрудничающий). “Новый” - это потребитель, не имевший договорных отношений с предприятием в течении от 6-ти до 12-ти месяцев, предшествующих новой фактической дате заключения договора. Соотношение размеров вознаграждений за привлечение “Новых” и “Старых” потребителей предлагается соответственно в пропорции как 3 к 1;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К2 – относительный коэффициент, отражающий субъективную оценку вышестоящим руководителем уровня, качества и сроков выполнения работ в сфере разработки предложений по ассортиментной, ценовой, рекламной и PR- стратегий и участия в их осуществлении.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Размер значения этого коэффициента определяется волевым решением вышестоящего руководителя, но в заранее оговоренном интервале, например, 0,9-1,1, который доводится до сведения всех сотрудников службы маркетинга.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Отметим, что если первый элемент в формуле (3.1) меньше, чем второй, то часть заказов останутся не обслуженными, и, следовательно, фирма не получит соответствующую оплату. В имитационной модели предусмотрено два варианта выхода из создавшейся ситуации: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А) увеличение фонда оплаты труда;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Б) при имеющемся количестве менеджеров – организация их обучения с целью повышения квалификации.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Блок “Платежеспособность”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Предположим, что все клиенты оплачивают услуги, на условиях предоплаты. Одной из фундаментальных характеристик клиента, как субъекта маркетинговой системы, является его способность производить оплату соответствующего набора транспортно-экспедиторских процедур. Эта способность обеспечивается платежеспособностью клиента, которая в маркетинговой системе характеризуется элементом платежеспособность (Mon). Клиент, как субъект маркетинговой системы, является функцией своей платежеспособности и стоимости транспортно-экспедиторской услуги: PC=f(Mon, Cost MP). На условиях предоплаты имеем: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Mon= Cost MP.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Блок “Цель”.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Цель характеризуют все остальные элементы маркетинговой системы транспортно-экспедиторских услуг, одни из них непосредственно, другие - опосредовано. В интегрированном виде прямой характеристикой цели, отображением ее прикладной сущности, является случай обслуживания. Именно он является прямой функцией отдела маркетинга, и в тоже время становится для этой группы аргументом. В случае транспортно-экспедиторского обслуживания клиент и производитель соотносятся как субъекты маркетинговой системы транспортно-экспедиторских услуг. Взаимоотношения клиента и менеджера в форме случая обслуживания характеризуют его конкретность. Случай транспортно-экспедиторского обслуживания квантирует систему маркетинга. Количество случаев обслуживания в единицу времени определяют частоту конкретной маркетинговой системы, его средней длительностью описывается амплитуда маркетинговой системы. Функциональные соотношения случая транспортно-экспедиторского обслуживания SPO=f(PC, VR, MDG).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Количество случаев обслуживания SPO совпадает с </w:t>
      </w:r>
      <w:r w:rsidR="009D4F1C">
        <w:pict>
          <v:shape id="_x0000_i1055" type="#_x0000_t75" alt="" style="width:49.5pt;height:18pt">
            <v:imagedata r:id="rId29" o:title=""/>
          </v:shape>
        </w:pict>
      </w:r>
      <w:r w:rsidRPr="00E16019">
        <w:t xml:space="preserve">в том случае, если в системе отсутствуют случайные возмущения (расчетное число случаев обслуживания совпадает с числом, получаемым экспериментально). </w: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56" type="#_x0000_t75" alt="" style="width:142.5pt;height:36pt">
            <v:imagedata r:id="rId30" o:title=""/>
          </v:shape>
        </w:pic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Блок. “Квалификация”.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В этот блок входят уравнения для заработанной платы и соотношения, в какой то степени учитывающие квалификацию менеджера в ее влиянии на уровень продаж. Предположим, что в результате обучения объем продаж квалифицированного менеджера возрастает на </w:t>
      </w:r>
      <w:r w:rsidR="009D4F1C">
        <w:pict>
          <v:shape id="_x0000_i1057" type="#_x0000_t75" alt="" style="width:9.75pt;height:13.5pt">
            <v:imagedata r:id="rId31" o:title=""/>
          </v:shape>
        </w:pict>
      </w:r>
      <w:r w:rsidRPr="00E16019">
        <w:t xml:space="preserve">процентов. Ежегодно повышают квалификацию </w:t>
      </w:r>
      <w:r w:rsidR="009D4F1C">
        <w:pict>
          <v:shape id="_x0000_i1058" type="#_x0000_t75" alt="" style="width:9pt;height:10.5pt">
            <v:imagedata r:id="rId32" o:title=""/>
          </v:shape>
        </w:pict>
      </w:r>
      <w:r w:rsidRPr="00E16019">
        <w:t>процентов менеджеров от их общего числа. Тогда общее число продаж можно переписать следующим образом: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Пусть </w:t>
      </w:r>
      <w:r w:rsidR="009D4F1C">
        <w:pict>
          <v:shape id="_x0000_i1059" type="#_x0000_t75" alt="" style="width:22.5pt;height:18pt">
            <v:imagedata r:id="rId33" o:title=""/>
          </v:shape>
        </w:pict>
      </w:r>
      <w:r w:rsidRPr="00E16019">
        <w:t xml:space="preserve">число квалифицированных менеджеров, а </w:t>
      </w:r>
      <w:r w:rsidR="009D4F1C">
        <w:pict>
          <v:shape id="_x0000_i1060" type="#_x0000_t75" alt="" style="width:24pt;height:18pt">
            <v:imagedata r:id="rId34" o:title=""/>
          </v:shape>
        </w:pict>
      </w:r>
      <w:r w:rsidRPr="00E16019">
        <w:t xml:space="preserve">количество менеджеров, не прошедших повышение квалификации. 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Имеем </w:t>
      </w:r>
      <w:r w:rsidR="009D4F1C">
        <w:pict>
          <v:shape id="_x0000_i1061" type="#_x0000_t75" alt="" style="width:96pt;height:18pt">
            <v:imagedata r:id="rId35" o:title=""/>
          </v:shape>
        </w:pict>
      </w:r>
      <w:r w:rsidRPr="00E16019">
        <w:t>, так как суммарное число менеджеров определяется фондом заработанной платы. Напомним, что качество работы уже учтено в формулах на зарплату.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А доход от их деятельности принимает вид:</w: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62" type="#_x0000_t75" alt="" style="width:317.25pt;height:30.75pt">
            <v:imagedata r:id="rId36" o:title=""/>
          </v:shape>
        </w:pic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Блок “Спрос”. 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Спрос клиента на транспортно-экспедиторскую услугу является убывающей функцией стоимости услуги и возрастающей функцией дохода (платежеспособности). Так как мы предположили, что работа с клиентами происходит на условиях предоплаты. То тем самым мы ограничили общее число клиентов, исключив тех клиентов, которые нуждаются в данной услуге, но не способные оплатить ее единовременно. И, тем самым, результаты, даваемые блоком “Потребность” и блоком “Спрос”, совпадают.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Блок “Деятельность”.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В блоке деятельности (оказания конкретной услуги) производитель, являясь субъектом маркетинговой системы, приобретает функции элемента системы имитационного моделирования. На практике это означает следующее: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в данном блоке собираются все уравнения имитационной модели, выведенные ранее.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Блок “Удовлетворение”.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Результативность функционирования маркетинговой системы транспортно-экспедиторских услуг оценивается по конкретным характеристикам случая обслуживания, соответствующих процедур и соответствующей деятельности (единиц труда менеджеров).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Стоимость конкретной транспортно-экспедиторской услуги определяется затратами на ее производство, конъюктурой рынка и привлекательностью цены для потенциальных клиентов. Для упрощения модели, практически не нарушая ее целостность приняли, что все услуги реализуются на основе предварительной оплаты. Тогда суммарный доход с учетом НДС от реализации всех услуг в течение года вычисляется по формуле:</w: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63" type="#_x0000_t75" alt="" style="width:142.5pt;height:17.25pt">
            <v:imagedata r:id="rId37" o:title=""/>
          </v:shape>
        </w:pic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 xml:space="preserve">в случае одной услуги. При наличии нескольких видов услуг, последняя формула заменяется соответствующей суммой. Для упрощения расчетов в общем комплекс затрат рассмотрим только затраты формируемые отделом маркетинга. К ним относятся фонд оплаты труда </w:t>
      </w:r>
      <w:r w:rsidR="009D4F1C">
        <w:pict>
          <v:shape id="_x0000_i1064" type="#_x0000_t75" alt="" style="width:18.75pt;height:18.75pt">
            <v:imagedata r:id="rId38" o:title=""/>
          </v:shape>
        </w:pict>
      </w:r>
      <w:r w:rsidRPr="00E16019">
        <w:t xml:space="preserve">, начисления на зарплату </w:t>
      </w:r>
      <w:r w:rsidR="009D4F1C">
        <w:pict>
          <v:shape id="_x0000_i1065" type="#_x0000_t75" alt="" style="width:54pt;height:17.25pt">
            <v:imagedata r:id="rId39" o:title=""/>
          </v:shape>
        </w:pict>
      </w:r>
      <w:r w:rsidRPr="00E16019">
        <w:t xml:space="preserve">, амортизация </w:t>
      </w:r>
      <w:r w:rsidR="009D4F1C">
        <w:pict>
          <v:shape id="_x0000_i1066" type="#_x0000_t75" alt="" style="width:34.5pt;height:12.75pt">
            <v:imagedata r:id="rId40" o:title=""/>
          </v:shape>
        </w:pict>
      </w:r>
      <w:r w:rsidRPr="00E16019">
        <w:t xml:space="preserve">, затраты на рекламу и налоги на рекламную деятельность </w:t>
      </w:r>
      <w:r w:rsidR="009D4F1C">
        <w:pict>
          <v:shape id="_x0000_i1067" type="#_x0000_t75" alt="" style="width:26.25pt;height:12.75pt">
            <v:imagedata r:id="rId41" o:title=""/>
          </v:shape>
        </w:pict>
      </w:r>
      <w:r w:rsidRPr="00E16019">
        <w:t xml:space="preserve">, затраты на обучение персонала </w:t>
      </w:r>
      <w:r w:rsidR="009D4F1C">
        <w:pict>
          <v:shape id="_x0000_i1068" type="#_x0000_t75" alt="" style="width:34.5pt;height:12.75pt">
            <v:imagedata r:id="rId42" o:title=""/>
          </v:shape>
        </w:pict>
      </w:r>
      <w:r w:rsidRPr="00E16019">
        <w:t>, накладные расходы, в состав которых включаем командировочные расходы, стоимость расходных материалов, электроэнергия и т.п.</w: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Таким образом, затраты:</w: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69" type="#_x0000_t75" alt="" style="width:263.25pt;height:17.25pt">
            <v:imagedata r:id="rId43" o:title=""/>
          </v:shape>
        </w:pict>
      </w:r>
    </w:p>
    <w:p w:rsidR="002B7295" w:rsidRPr="00E16019" w:rsidRDefault="002B7295" w:rsidP="002B7295">
      <w:pPr>
        <w:spacing w:before="120"/>
        <w:ind w:firstLine="567"/>
        <w:jc w:val="both"/>
      </w:pPr>
      <w:r w:rsidRPr="00E16019">
        <w:t>И прибыль до налогообложения, т.е. функционал, подлежащий максимизации имеет вид:</w:t>
      </w:r>
    </w:p>
    <w:p w:rsidR="002B7295" w:rsidRPr="00E16019" w:rsidRDefault="009D4F1C" w:rsidP="002B7295">
      <w:pPr>
        <w:spacing w:before="120"/>
        <w:ind w:firstLine="567"/>
        <w:jc w:val="both"/>
      </w:pPr>
      <w:r>
        <w:pict>
          <v:shape id="_x0000_i1070" type="#_x0000_t75" alt="" style="width:132pt;height:30pt">
            <v:imagedata r:id="rId44" o:title=""/>
          </v:shape>
        </w:pict>
      </w:r>
    </w:p>
    <w:p w:rsidR="002B7295" w:rsidRDefault="002B7295" w:rsidP="002B7295">
      <w:pPr>
        <w:spacing w:before="120"/>
        <w:ind w:firstLine="567"/>
        <w:jc w:val="both"/>
      </w:pPr>
      <w:r w:rsidRPr="00E16019">
        <w:t>Максимум этого функционала будем искать по нескольким переменным, а именно, себестоимость услуги и минимально необходимое количество менеджеров, если первый параметр влияет на ценовую конкурентоспособность услуги прямо, а второй опосредовано, то второй параметр позволяет проследить влияние системы управления маркетингом на маркетинговую конкурентоспособность предлагаемых услуг.</w:t>
      </w:r>
    </w:p>
    <w:p w:rsidR="00E12572" w:rsidRPr="002B7295" w:rsidRDefault="00E12572">
      <w:pPr>
        <w:rPr>
          <w:b/>
          <w:bCs/>
        </w:rPr>
      </w:pPr>
      <w:bookmarkStart w:id="2" w:name="_GoBack"/>
      <w:bookmarkEnd w:id="2"/>
    </w:p>
    <w:sectPr w:rsidR="00E12572" w:rsidRPr="002B7295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295"/>
    <w:rsid w:val="00095BA6"/>
    <w:rsid w:val="000F1ABA"/>
    <w:rsid w:val="002464B1"/>
    <w:rsid w:val="0025139C"/>
    <w:rsid w:val="002B7295"/>
    <w:rsid w:val="0031418A"/>
    <w:rsid w:val="005A2562"/>
    <w:rsid w:val="009D4F1C"/>
    <w:rsid w:val="00A44D32"/>
    <w:rsid w:val="00CB0E8E"/>
    <w:rsid w:val="00E12572"/>
    <w:rsid w:val="00E1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docId w15:val="{F7639733-0382-4CCC-9FEE-6280A904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7295"/>
    <w:rPr>
      <w:color w:val="0033CC"/>
      <w:u w:val="none"/>
      <w:effect w:val="none"/>
    </w:rPr>
  </w:style>
  <w:style w:type="character" w:styleId="a4">
    <w:name w:val="FollowedHyperlink"/>
    <w:basedOn w:val="a0"/>
    <w:uiPriority w:val="99"/>
    <w:rsid w:val="002B72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1767</Words>
  <Characters>10072</Characters>
  <Application>Microsoft Office Word</Application>
  <DocSecurity>0</DocSecurity>
  <Lines>83</Lines>
  <Paragraphs>23</Paragraphs>
  <ScaleCrop>false</ScaleCrop>
  <Company>Home</Company>
  <LinksUpToDate>false</LinksUpToDate>
  <CharactersWithSpaces>11816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Алгоритмизация системы управления маркетингом предприятия сферы услуг</dc:title>
  <dc:subject/>
  <dc:creator>Alena</dc:creator>
  <cp:keywords/>
  <dc:description/>
  <cp:lastModifiedBy>admin</cp:lastModifiedBy>
  <cp:revision>2</cp:revision>
  <dcterms:created xsi:type="dcterms:W3CDTF">2014-02-18T06:11:00Z</dcterms:created>
  <dcterms:modified xsi:type="dcterms:W3CDTF">2014-02-18T06:11:00Z</dcterms:modified>
</cp:coreProperties>
</file>