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9B1" w:rsidRDefault="001959B1" w:rsidP="00BB19F8">
      <w:pPr>
        <w:spacing w:before="100" w:beforeAutospacing="1" w:after="100" w:afterAutospacing="1" w:line="240" w:lineRule="auto"/>
        <w:outlineLvl w:val="1"/>
        <w:rPr>
          <w:rFonts w:ascii="Verdana" w:eastAsia="Times New Roman" w:hAnsi="Verdana"/>
          <w:b/>
          <w:bCs/>
          <w:color w:val="A61B0D"/>
          <w:kern w:val="36"/>
          <w:sz w:val="30"/>
          <w:szCs w:val="30"/>
          <w:lang w:eastAsia="ru-RU"/>
        </w:rPr>
      </w:pPr>
    </w:p>
    <w:p w:rsidR="00BB19F8" w:rsidRPr="00BB19F8" w:rsidRDefault="00BB19F8" w:rsidP="00BB19F8">
      <w:pPr>
        <w:spacing w:before="100" w:beforeAutospacing="1" w:after="100" w:afterAutospacing="1" w:line="240" w:lineRule="auto"/>
        <w:outlineLvl w:val="1"/>
        <w:rPr>
          <w:rFonts w:ascii="Verdana" w:eastAsia="Times New Roman" w:hAnsi="Verdana"/>
          <w:b/>
          <w:bCs/>
          <w:color w:val="A61B0D"/>
          <w:kern w:val="36"/>
          <w:sz w:val="30"/>
          <w:szCs w:val="30"/>
          <w:lang w:eastAsia="ru-RU"/>
        </w:rPr>
      </w:pPr>
      <w:r w:rsidRPr="00BB19F8">
        <w:rPr>
          <w:rFonts w:ascii="Verdana" w:eastAsia="Times New Roman" w:hAnsi="Verdana"/>
          <w:b/>
          <w:bCs/>
          <w:color w:val="A61B0D"/>
          <w:kern w:val="36"/>
          <w:sz w:val="30"/>
          <w:szCs w:val="30"/>
          <w:lang w:eastAsia="ru-RU"/>
        </w:rPr>
        <w:t xml:space="preserve">Анализ эффективности использования векселей в хозяйственном обороте </w:t>
      </w:r>
    </w:p>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7F423B"/>
          <w:lang w:eastAsia="ru-RU"/>
        </w:rPr>
        <w:t xml:space="preserve">Шацкий В.Ф.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hyperlink r:id="rId5" w:history="1">
        <w:r w:rsidR="00BB19F8" w:rsidRPr="00BB19F8">
          <w:rPr>
            <w:rFonts w:ascii="Verdana" w:eastAsia="Times New Roman" w:hAnsi="Verdana"/>
            <w:color w:val="2F2F2F"/>
            <w:lang w:eastAsia="ru-RU"/>
          </w:rPr>
          <w:t>Оглавление журнала</w:t>
        </w:r>
      </w:hyperlink>
    </w:p>
    <w:p w:rsidR="00BB19F8" w:rsidRPr="00BB19F8" w:rsidRDefault="00AE40EC" w:rsidP="00BB19F8">
      <w:pPr>
        <w:spacing w:after="0" w:line="240" w:lineRule="auto"/>
        <w:rPr>
          <w:rFonts w:ascii="Verdana" w:eastAsia="Times New Roman" w:hAnsi="Verdana"/>
          <w:color w:val="4D4D4D"/>
          <w:lang w:eastAsia="ru-RU"/>
        </w:rPr>
      </w:pPr>
      <w:r>
        <w:rPr>
          <w:rFonts w:ascii="Verdana" w:eastAsia="Times New Roman" w:hAnsi="Verdana"/>
          <w:color w:val="4D4D4D"/>
          <w:lang w:eastAsia="ru-RU"/>
        </w:rPr>
        <w:pict>
          <v:rect id="_x0000_i1025" style="width:0;height:.75pt" o:hralign="center" o:hrstd="t" o:hrnoshade="t" o:hr="t" fillcolor="gray" stroked="f"/>
        </w:pic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i/>
          <w:iCs/>
          <w:color w:val="626161"/>
          <w:lang w:eastAsia="ru-RU"/>
        </w:rPr>
        <w:t>Саратовский государственный социально-эконо</w:t>
      </w:r>
      <w:r w:rsidRPr="00BB19F8">
        <w:rPr>
          <w:rFonts w:ascii="Verdana" w:eastAsia="Times New Roman" w:hAnsi="Verdana"/>
          <w:i/>
          <w:iCs/>
          <w:color w:val="626161"/>
          <w:lang w:eastAsia="ru-RU"/>
        </w:rPr>
        <w:softHyphen/>
        <w:t>ми</w:t>
      </w:r>
      <w:r w:rsidRPr="00BB19F8">
        <w:rPr>
          <w:rFonts w:ascii="Verdana" w:eastAsia="Times New Roman" w:hAnsi="Verdana"/>
          <w:i/>
          <w:iCs/>
          <w:color w:val="626161"/>
          <w:lang w:eastAsia="ru-RU"/>
        </w:rPr>
        <w:softHyphen/>
        <w:t>чес</w:t>
      </w:r>
      <w:r w:rsidRPr="00BB19F8">
        <w:rPr>
          <w:rFonts w:ascii="Verdana" w:eastAsia="Times New Roman" w:hAnsi="Verdana"/>
          <w:i/>
          <w:iCs/>
          <w:color w:val="626161"/>
          <w:lang w:eastAsia="ru-RU"/>
        </w:rPr>
        <w:softHyphen/>
        <w:t>кий университет</w:t>
      </w:r>
      <w:r w:rsidRPr="00BB19F8">
        <w:rPr>
          <w:rFonts w:ascii="Verdana" w:eastAsia="Times New Roman" w:hAnsi="Verdana"/>
          <w:color w:val="626161"/>
          <w:lang w:eastAsia="ru-RU"/>
        </w:rPr>
        <w:t xml:space="preserve"> </w:t>
      </w:r>
    </w:p>
    <w:p w:rsidR="00BB19F8" w:rsidRPr="00BB19F8" w:rsidRDefault="00BB19F8" w:rsidP="00BB19F8">
      <w:pPr>
        <w:spacing w:before="100" w:beforeAutospacing="1" w:after="100" w:afterAutospacing="1" w:line="240" w:lineRule="auto"/>
        <w:outlineLvl w:val="2"/>
        <w:rPr>
          <w:rFonts w:ascii="Verdana" w:eastAsia="Times New Roman" w:hAnsi="Verdana"/>
          <w:b/>
          <w:bCs/>
          <w:color w:val="626161"/>
          <w:sz w:val="27"/>
          <w:szCs w:val="27"/>
          <w:lang w:eastAsia="ru-RU"/>
        </w:rPr>
      </w:pPr>
      <w:r w:rsidRPr="00BB19F8">
        <w:rPr>
          <w:rFonts w:ascii="Verdana" w:eastAsia="Times New Roman" w:hAnsi="Verdana"/>
          <w:b/>
          <w:bCs/>
          <w:color w:val="626161"/>
          <w:sz w:val="27"/>
          <w:szCs w:val="27"/>
          <w:lang w:eastAsia="ru-RU"/>
        </w:rPr>
        <w:t xml:space="preserve">Источники информации и задачи анализа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Для проведения анализа используются различные источники информации, одним из которых является баланс, свидетельствующий о величине задолженности по товарным векселям полученным и выданным на начало и конец отчетной даты. В активе баланса по строкам 232 и 242 "Векселя к получению" показывается учтенная на счете 62 "Расчеты с покупателями и заказчиками" задолженность покупателей, заказчиков и других дебиторов по отгруженной продукции (товарам), выполненным работам и оказанным услугам, обеспеченная полученными векселями. В пассиве баланса по строке 622 "Векселя к уплате" показывается сумма задолженности поставщикам, подрядчикам и другим кредиторам, которым организация выдала в обеспечение их поставок продукции (товаров, услуг) векселя, учитываемые на счете 60 "Расчеты с поставщиками и подрядчиками". Порядок заполнения данных по этим строкам баланса регламентируется Методическими рекомендациями по формированию показателей бухгалтерской отчетности организаций, утвержденными приказом Минфина РФ от 28 июня 2000 года № 60н.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Другим источником для анализа может служить справка к разделу №2 "Дебиторская и кредиторская задолженность" Приложения к балансу по форме № 5, в которой содержатся данные о движении векселей. В ней, в частности, приводится информация об остатках задолженности по выданным и полученным товарным векселям на начало года, о суммах возникших и погашенных вексельных обязательств в течение года и остатках задолженности на конец года. Данная информация дополняется сведениями в виде отдельной строки "в том числе" по векселям с просроченным сроком платежа.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Указанные формы отчетности дают интересную информацию, однако они не позволяют сделать исчерпывающего анализа о состоянии расчетов организации, поскольку не содержат многих важных сведений: от кого получены векселя и кому переданы, какая часть векселей не погашена в срок и какая из них опротестована, какова сумма процентов по векселям полученным и какова по уплаченным, какова структура векселей (товарных и финансовых) и т. п. Такая информация может быть получена только по данным синтетического и аналитического учета, в частности, по данным журналов-ордеров и ведомостей, фиксирующих расчеты с поставщиками и подрядчиками, покупателями и заказчиками, прочими дебиторами и кредиторами, аналитические данные по счетам 60 «Расчеты с поставщиками и подрядчиками», 62 «Расчеты с покупателями и заказчиками», 76 «Расчеты с разными дебиторами и кредиторами», Главная книга, приказ об учетной политике. Некоторая часть информации может быть получена из Книги учета векселей.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Не следует забывать и такую немаловажную часть информационной базы, как забалансовые счета 008 «Обеспечения обязательств и платежей полученные» и 009 «Обеспечения обязательств и платежей выданные».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При проведении анализа использования векселей перед аналитиком возникает комплекс задач, которые необходимо решить. В начале необходимо проанализировать и оценить используемую на предприятии систему безналичных расчетов, а именно: </w:t>
      </w:r>
    </w:p>
    <w:p w:rsidR="00BB19F8" w:rsidRPr="00BB19F8" w:rsidRDefault="00BB19F8" w:rsidP="00BB19F8">
      <w:pPr>
        <w:numPr>
          <w:ilvl w:val="0"/>
          <w:numId w:val="1"/>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исследовать структуру различных форм расчетов по договорам, включая предоплату, с точки зрения условий оплаты (акцептная, аккредитивная и т. д.), по используемым платежным средствам (без использования платежных средств, т. е. расчеты требованиями, поручениями и с их использованием). </w:t>
      </w:r>
    </w:p>
    <w:p w:rsidR="00BB19F8" w:rsidRPr="00BB19F8" w:rsidRDefault="00BB19F8" w:rsidP="00BB19F8">
      <w:pPr>
        <w:numPr>
          <w:ilvl w:val="0"/>
          <w:numId w:val="1"/>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оценить уровень выполнения предприятием своих платежных обязательств, степень исполнения партнерами платежных обязательств перед предприятием; </w:t>
      </w:r>
    </w:p>
    <w:p w:rsidR="00BB19F8" w:rsidRPr="00BB19F8" w:rsidRDefault="00BB19F8" w:rsidP="00BB19F8">
      <w:pPr>
        <w:numPr>
          <w:ilvl w:val="0"/>
          <w:numId w:val="1"/>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проанализировать применяемые методы обеспечения платежных обязательств (залог, гарантии и т. д.); </w:t>
      </w:r>
    </w:p>
    <w:p w:rsidR="00BB19F8" w:rsidRPr="00BB19F8" w:rsidRDefault="00BB19F8" w:rsidP="00BB19F8">
      <w:pPr>
        <w:numPr>
          <w:ilvl w:val="0"/>
          <w:numId w:val="1"/>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изучить своевременность и надлежащее оформление расчетно-платежной документации, своевременность рассмотрения претензий.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Чрезвычайно важно в сегодняшних условиях проанализировать структуру вексельной задолженности: </w:t>
      </w:r>
    </w:p>
    <w:p w:rsidR="00BB19F8" w:rsidRPr="00BB19F8" w:rsidRDefault="00BB19F8" w:rsidP="00BB19F8">
      <w:pPr>
        <w:numPr>
          <w:ilvl w:val="0"/>
          <w:numId w:val="2"/>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по срокам погашения; </w:t>
      </w:r>
    </w:p>
    <w:p w:rsidR="00BB19F8" w:rsidRPr="00BB19F8" w:rsidRDefault="00BB19F8" w:rsidP="00BB19F8">
      <w:pPr>
        <w:numPr>
          <w:ilvl w:val="0"/>
          <w:numId w:val="2"/>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по типам дебиторов (покупатели, заемщики и т.д.); </w:t>
      </w:r>
    </w:p>
    <w:p w:rsidR="00BB19F8" w:rsidRPr="00BB19F8" w:rsidRDefault="00BB19F8" w:rsidP="00BB19F8">
      <w:pPr>
        <w:numPr>
          <w:ilvl w:val="0"/>
          <w:numId w:val="2"/>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по удельному весу отдельных крупных должников (предполагается их ранжирование по значимости или по сумме задолженности); </w:t>
      </w:r>
    </w:p>
    <w:p w:rsidR="00BB19F8" w:rsidRPr="00BB19F8" w:rsidRDefault="00BB19F8" w:rsidP="00BB19F8">
      <w:pPr>
        <w:numPr>
          <w:ilvl w:val="0"/>
          <w:numId w:val="2"/>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по уровням задолженности (перед предприятиями, его структурными звеньями и т. д.).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Кроме этого, можно выделить и другие задачи анализа вексельного обращения: </w:t>
      </w:r>
    </w:p>
    <w:p w:rsidR="00BB19F8" w:rsidRPr="00BB19F8" w:rsidRDefault="00BB19F8" w:rsidP="00BB19F8">
      <w:pPr>
        <w:numPr>
          <w:ilvl w:val="0"/>
          <w:numId w:val="3"/>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анализ объема и динамики вексельной задолженности; </w:t>
      </w:r>
    </w:p>
    <w:p w:rsidR="00BB19F8" w:rsidRPr="00BB19F8" w:rsidRDefault="00BB19F8" w:rsidP="00BB19F8">
      <w:pPr>
        <w:numPr>
          <w:ilvl w:val="0"/>
          <w:numId w:val="3"/>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анализ структуры и состояния вексельного обращения по срокам полезного использования и правовой защищенности; </w:t>
      </w:r>
    </w:p>
    <w:p w:rsidR="00BB19F8" w:rsidRPr="00BB19F8" w:rsidRDefault="00BB19F8" w:rsidP="00BB19F8">
      <w:pPr>
        <w:numPr>
          <w:ilvl w:val="0"/>
          <w:numId w:val="3"/>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анализ доходности векселей; </w:t>
      </w:r>
    </w:p>
    <w:p w:rsidR="00BB19F8" w:rsidRPr="00BB19F8" w:rsidRDefault="00BB19F8" w:rsidP="00BB19F8">
      <w:pPr>
        <w:numPr>
          <w:ilvl w:val="0"/>
          <w:numId w:val="3"/>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анализ ликвидности векселей и степени риска вложений средств в векселя; </w:t>
      </w:r>
    </w:p>
    <w:p w:rsidR="00BB19F8" w:rsidRPr="00BB19F8" w:rsidRDefault="00BB19F8" w:rsidP="00BB19F8">
      <w:pPr>
        <w:numPr>
          <w:ilvl w:val="0"/>
          <w:numId w:val="3"/>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оценка возможности кредитования покупателя товара продавцом напрямую, без посредничества финансовых структур; </w:t>
      </w:r>
    </w:p>
    <w:p w:rsidR="00BB19F8" w:rsidRPr="00BB19F8" w:rsidRDefault="00BB19F8" w:rsidP="00BB19F8">
      <w:pPr>
        <w:numPr>
          <w:ilvl w:val="0"/>
          <w:numId w:val="3"/>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анализ оборачиваемости векселей; </w:t>
      </w:r>
    </w:p>
    <w:p w:rsidR="00BB19F8" w:rsidRPr="00BB19F8" w:rsidRDefault="00BB19F8" w:rsidP="00BB19F8">
      <w:pPr>
        <w:numPr>
          <w:ilvl w:val="0"/>
          <w:numId w:val="3"/>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анализ правильности определения налогооблагаемой базы по НДС на доходы по векселям; </w:t>
      </w:r>
    </w:p>
    <w:p w:rsidR="00BB19F8" w:rsidRPr="00BB19F8" w:rsidRDefault="00BB19F8" w:rsidP="00BB19F8">
      <w:pPr>
        <w:numPr>
          <w:ilvl w:val="0"/>
          <w:numId w:val="3"/>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анализ структуры статей, отражающих вексельные долги организации и ее дебиторов, с точки зрения срока погашения и реальности получения платежа; </w:t>
      </w:r>
    </w:p>
    <w:p w:rsidR="00BB19F8" w:rsidRPr="00BB19F8" w:rsidRDefault="00BB19F8" w:rsidP="00BB19F8">
      <w:pPr>
        <w:numPr>
          <w:ilvl w:val="0"/>
          <w:numId w:val="3"/>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анализ эффективности использования векселей.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Следует проанализировать целесообразность и обоснованность принятых в организации решений о выпуске или приобретении векселей. Необходимо изучить, как соблюдаются условия, обеспечивающие сохранность векселей. Чрезвычайно важно проанализировать правильность и полноту отражения в бухгалтерском учете операций по движению векселей. В поле зрения аналитика должен быть анализ целевого использования средств, полученных от операций с векселями. Полезно проанализировать и достоверность отчетных данных о движении векселей. Следует изучить факты оплаты неотоваренных векселей, разработать мероприятия по восполнению неотоваренной части векселей. Не менее важной задачей является изучение того, как использование векселей отразилось на скорости расчетов и на финансовом положении организации. Необходимо проанализировать суммы задолженности поставщикам и подрядчикам, обеспеченные выданными векселями, степень надежности и ликвидности векселя.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В настоящее время все большее распространение получает кредитование под залог векселей. В отличие от операций по учету векселей, при кредитовании под залог векселей заемщик сохраняет право собственности на заложенные векселя. В случае непогашения кредитов в срок банк вправе реализовать заложенные ценные бумаги в порядке, установленном законодательством. При этом необходимо проанализировать сумму полученных кредитов, какую долю в их обеспечении составили векселя, какая часть реализована банком, причины такой реализации.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Кроме того, целесообразно проанализировать, в какой мере использование векселей обеспечивает своевременность расчетов за товарно-материальные ценности; выступает средством погашения различных обязательств, включая валютные; каким образом отражается на ускорении оборачиваемости оборотных средств; как выполняет роль векселедательского кредита.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Завершается анализ установлением и оценкой причин несоблюдения платежной дисциплины, разработкой возможных вариантов ее нормализации (контроль финансового состояния контрагентов, взаимные сверки задолженности, отслеживание своевременности погашения задолженности, распределение платежей по приоритетности), оптимизацией расчетов (ранжирование контрагентов по категориям риска и более продуманная политика в отношении заключения договоров, составление графиков платежей и т. д.). </w:t>
      </w:r>
    </w:p>
    <w:p w:rsidR="00BB19F8" w:rsidRPr="00BB19F8" w:rsidRDefault="00BB19F8" w:rsidP="00BB19F8">
      <w:pPr>
        <w:spacing w:before="100" w:beforeAutospacing="1" w:after="100" w:afterAutospacing="1" w:line="240" w:lineRule="auto"/>
        <w:outlineLvl w:val="2"/>
        <w:rPr>
          <w:rFonts w:ascii="Verdana" w:eastAsia="Times New Roman" w:hAnsi="Verdana"/>
          <w:b/>
          <w:bCs/>
          <w:color w:val="626161"/>
          <w:sz w:val="27"/>
          <w:szCs w:val="27"/>
          <w:lang w:eastAsia="ru-RU"/>
        </w:rPr>
      </w:pPr>
      <w:r w:rsidRPr="00BB19F8">
        <w:rPr>
          <w:rFonts w:ascii="Verdana" w:eastAsia="Times New Roman" w:hAnsi="Verdana"/>
          <w:b/>
          <w:bCs/>
          <w:color w:val="626161"/>
          <w:sz w:val="27"/>
          <w:szCs w:val="27"/>
          <w:lang w:eastAsia="ru-RU"/>
        </w:rPr>
        <w:t xml:space="preserve">Анализ состояния расчетов по выданным и полученным векселям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О состоянии расчетов с участием векселей можно судить прежде всего по данным баланса организации. Сам факт наличия задолженности по полученным векселям свидетельствует о возможности организации предоставлять своим дебиторам товарные кредиты под поставку продукции (товаров). В свою очередь, наличие задолженности по векселям в пассиве баланса говорит о доверии к организации со стороны ее кредиторов и соответствующей репутации в деловых кругах.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Для проведения анализа состояния расчетов по выданным и полученным товарным векселям необходимо исчислить удельный вес задолженности по ним в общем итоге баланса и, соответственно, в величине дебиторской и кредиторской задолженности в целом. Это нужно, во-первых, для определения их места в общей картине финансового состояния (значимости показателей данных статей), во-вторых, для сравнения относительных показателей данных статей за ряд лет и выявления соответствующих тенденций к увеличению или уменьшению.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Удельный вес векселей полученных в валюте баланса (</w:t>
      </w:r>
      <w:r w:rsidR="00AE40EC">
        <w:rPr>
          <w:rFonts w:ascii="Verdana" w:eastAsia="Times New Roman" w:hAnsi="Verdana"/>
          <w:noProof/>
          <w:color w:val="62616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alt="http://www.cfin.ru/press/afa/2001-4/03_002.gif" style="width:15.75pt;height:12.75pt;visibility:visible">
            <v:imagedata r:id="rId6" o:title="03_002"/>
          </v:shape>
        </w:pict>
      </w:r>
      <w:r w:rsidRPr="00BB19F8">
        <w:rPr>
          <w:rFonts w:ascii="Verdana" w:eastAsia="Times New Roman" w:hAnsi="Verdana"/>
          <w:color w:val="626161"/>
          <w:lang w:eastAsia="ru-RU"/>
        </w:rPr>
        <w:t xml:space="preserve"> ), определяется отношением данных по статьям "векселя к получению" к итогу актива, то есть: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w:t>
      </w:r>
      <w:r w:rsidR="00AE40EC">
        <w:rPr>
          <w:rFonts w:ascii="Verdana" w:eastAsia="Times New Roman" w:hAnsi="Verdana"/>
          <w:noProof/>
          <w:color w:val="626161"/>
          <w:lang w:eastAsia="ru-RU"/>
        </w:rPr>
        <w:pict>
          <v:shape id="Рисунок 3" o:spid="_x0000_i1027" type="#_x0000_t75" alt="http://www.cfin.ru/press/afa/2001-4/03_004.gif" style="width:132pt;height:27pt;visibility:visible">
            <v:imagedata r:id="rId7" o:title="03_004"/>
          </v:shape>
        </w:pic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Удельный вес векселей выданных в валюте пассива баланса (</w:t>
      </w:r>
      <w:r w:rsidR="00AE40EC">
        <w:rPr>
          <w:rFonts w:ascii="Verdana" w:eastAsia="Times New Roman" w:hAnsi="Verdana"/>
          <w:noProof/>
          <w:color w:val="626161"/>
          <w:lang w:eastAsia="ru-RU"/>
        </w:rPr>
        <w:pict>
          <v:shape id="Рисунок 4" o:spid="_x0000_i1028" type="#_x0000_t75" alt="http://www.cfin.ru/press/afa/2001-4/03_006.gif" style="width:16.5pt;height:12pt;visibility:visible">
            <v:imagedata r:id="rId8" o:title="03_006"/>
          </v:shape>
        </w:pict>
      </w:r>
      <w:r w:rsidRPr="00BB19F8">
        <w:rPr>
          <w:rFonts w:ascii="Verdana" w:eastAsia="Times New Roman" w:hAnsi="Verdana"/>
          <w:color w:val="626161"/>
          <w:lang w:eastAsia="ru-RU"/>
        </w:rPr>
        <w:t xml:space="preserve"> ) определяется отношением данных по статье "векселя к уплате" к итогу пассива баланса, то есть: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5" o:spid="_x0000_i1029" type="#_x0000_t75" alt="http://www.cfin.ru/press/afa/2001-4/03_008.gif" style="width:108.75pt;height:27pt;visibility:visible">
            <v:imagedata r:id="rId9" o:title="03_008"/>
          </v:shape>
        </w:pic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Значимость исчисления относительных показателей заключается в том, что, во-первых, появляется возможность сравнивать аналогичные показатели различных предприятий и, во-вторых, устраняется влияние инфляционных процессов.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Сравнивая полученные данные по отдельным отчетным периодам (на начало или конец каждого квартала, года или нескольких лет), можно определить тенденцию к увеличению или снижению удельного веса остатков дебиторской и кредиторской задолженности с участием в расчетах векселей в валюте баланса .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По данным баланса АООТ "Прогресс" можно установить, что удельный вес задолженности по векселям полученным в общей сумме активов составил на конец отчетного года 18,3 % (621 : 3384 *100 %), а удельный вес задолженности по векселям выданным в общей сумме пассивов – 3,8 % (128 : 3384 *100 %), что свидетельствует о возможных финансовых затруднениях.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Аналогичным путем определяются и другие показатели. Например, удельный вес дебиторской задолженности по полученным векселям (</w:t>
      </w:r>
      <w:r w:rsidR="00AE40EC">
        <w:rPr>
          <w:rFonts w:ascii="Verdana" w:eastAsia="Times New Roman" w:hAnsi="Verdana"/>
          <w:noProof/>
          <w:color w:val="626161"/>
          <w:lang w:eastAsia="ru-RU"/>
        </w:rPr>
        <w:pict>
          <v:shape id="Рисунок 6" o:spid="_x0000_i1030" type="#_x0000_t75" alt="http://www.cfin.ru/press/afa/2001-4/03_010.gif" style="width:14.25pt;height:12.75pt;visibility:visible">
            <v:imagedata r:id="rId10" o:title="03_010"/>
          </v:shape>
        </w:pict>
      </w:r>
      <w:r w:rsidRPr="00BB19F8">
        <w:rPr>
          <w:rFonts w:ascii="Verdana" w:eastAsia="Times New Roman" w:hAnsi="Verdana"/>
          <w:color w:val="626161"/>
          <w:lang w:eastAsia="ru-RU"/>
        </w:rPr>
        <w:t xml:space="preserve"> ) в общей величине оборотных активов определяется отношением суммы по статьям актива баланса "Векселя к получению" к сумме второго его раздела "Оборотные активы" без строки "Налог на добавленную стоимость по приобретенным ценностям":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w:t>
      </w:r>
      <w:r w:rsidR="00AE40EC">
        <w:rPr>
          <w:rFonts w:ascii="Verdana" w:eastAsia="Times New Roman" w:hAnsi="Verdana"/>
          <w:noProof/>
          <w:color w:val="626161"/>
          <w:lang w:eastAsia="ru-RU"/>
        </w:rPr>
        <w:pict>
          <v:shape id="Рисунок 7" o:spid="_x0000_i1031" type="#_x0000_t75" alt="http://www.cfin.ru/press/afa/2001-4/03_012.gif" style="width:129.75pt;height:27pt;visibility:visible">
            <v:imagedata r:id="rId11" o:title="03_012"/>
          </v:shape>
        </w:pic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Удельный вес дебиторской задолженности, обеспеченной векселями, в общей ее величине (</w:t>
      </w:r>
      <w:r w:rsidR="00AE40EC">
        <w:rPr>
          <w:rFonts w:ascii="Verdana" w:eastAsia="Times New Roman" w:hAnsi="Verdana"/>
          <w:noProof/>
          <w:color w:val="626161"/>
          <w:lang w:eastAsia="ru-RU"/>
        </w:rPr>
        <w:pict>
          <v:shape id="Рисунок 8" o:spid="_x0000_i1032" type="#_x0000_t75" alt="http://www.cfin.ru/press/afa/2001-4/03_014.gif" style="width:14.25pt;height:12.75pt;visibility:visible">
            <v:imagedata r:id="rId12" o:title="03_014"/>
          </v:shape>
        </w:pict>
      </w:r>
      <w:r w:rsidRPr="00BB19F8">
        <w:rPr>
          <w:rFonts w:ascii="Verdana" w:eastAsia="Times New Roman" w:hAnsi="Verdana"/>
          <w:color w:val="626161"/>
          <w:lang w:eastAsia="ru-RU"/>
        </w:rPr>
        <w:t xml:space="preserve"> ) исчисляется делением строки "Векселя к получению" на сумму дебиторской задолженности, платежи по которой ожидаются в течение 12 месяцев после отчетной даты: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9" o:spid="_x0000_i1033" type="#_x0000_t75" alt="http://www.cfin.ru/press/afa/2001-4/03_016.gif" style="width:105pt;height:27pt;visibility:visible">
            <v:imagedata r:id="rId13" o:title="03_016"/>
          </v:shape>
        </w:pict>
      </w:r>
      <w:r w:rsidR="00BB19F8" w:rsidRPr="00BB19F8">
        <w:rPr>
          <w:rFonts w:ascii="Verdana" w:eastAsia="Times New Roman" w:hAnsi="Verdana"/>
          <w:color w:val="626161"/>
          <w:lang w:eastAsia="ru-RU"/>
        </w:rPr>
        <w:t xml:space="preserve">  Например, в анализируемой нами организации АООТ "Прогресс" значение этого показателя достаточно высоко – 61,8 % (621:1005*100 %), то есть более половины всей дебиторской задолженности в организации обеспечено векселями, что свидетельствует и о более реальной возможности погасить задолженность.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Для большей наглядности исчисленных показателей можно составить таблицу, в которой следует отразить анализируемые отчетные периоды, соответствующие им значения исчисленных показателей. Анализ данных такой таблицы позволит безошибочно определить сложившиеся тенденции и по ним сделать выводы.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Например, увеличение удельного веса векселей полученных в общей сумме оборотных активов и в сумме дебиторской задолженности является положительным явлением, поскольку вексельные обязательства по сравнению с обычной дебиторской задолженностью имеют значительно большую силу: вексель выступает высоколиквидным активом, так как в любое время может быть передан по индоссаменту, реализован, передан в залог третьему лицу до наступления срока его погашения. Ведь не случайно одной из важнейших экономических функций векселя является функция средства платежа.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Удельный вес кредиторской задолженности, обеспеченной выданными организацией векселями, в общем ее объеме (</w:t>
      </w:r>
      <w:r w:rsidR="00AE40EC">
        <w:rPr>
          <w:rFonts w:ascii="Verdana" w:eastAsia="Times New Roman" w:hAnsi="Verdana"/>
          <w:noProof/>
          <w:color w:val="626161"/>
          <w:lang w:eastAsia="ru-RU"/>
        </w:rPr>
        <w:pict>
          <v:shape id="Рисунок 10" o:spid="_x0000_i1034" type="#_x0000_t75" alt="http://www.cfin.ru/press/afa/2001-4/03_018.gif" style="width:12.75pt;height:12pt;visibility:visible">
            <v:imagedata r:id="rId14" o:title="03_018"/>
          </v:shape>
        </w:pict>
      </w:r>
      <w:r w:rsidRPr="00BB19F8">
        <w:rPr>
          <w:rFonts w:ascii="Verdana" w:eastAsia="Times New Roman" w:hAnsi="Verdana"/>
          <w:color w:val="626161"/>
          <w:lang w:eastAsia="ru-RU"/>
        </w:rPr>
        <w:t xml:space="preserve"> ) определяется отношением суммы статьи "Векселя к уплате" к итогу V-го раздела "Краткосрочные обязательства", за вычетом статей "Резервы предстоящих расходов" и "Доходы будущих периодов":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11" o:spid="_x0000_i1035" type="#_x0000_t75" alt="http://www.cfin.ru/press/afa/2001-4/03_020.gif" style="width:129.75pt;height:27pt;visibility:visible">
            <v:imagedata r:id="rId15" o:title="03_020"/>
          </v:shape>
        </w:pic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Полученные величины показывают ту часть кредиторской задолженности, наличие которой возлагает на организацию дополнительную ответственность, так как несвоевременное погашение вексельных обязательств приведет к протесту векселей, а значит, к дополнительным расходам, возмещаемым кредиторам по опротестованию векселей, а кроме того – к потере деловой репутации.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Увеличение удельного веса кредиторской задолженности, обеспеченной выданными организацией векселями, в общем ее объеме будет свидетельствовать о репутации предприятия, как более надежного вексельного должника. Это в известной мере может рассматриваться как гарантия при предоставлении предприятию кредитов.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В анализируемой нами организации задолженность по векселям выданным составила на конец года 128 тыс. руб., или 4,3 % от суммы всей кредиторской задолженности. Данная задолженность взята под строгий контроль со стороны руководства, бухгалтерии организации, и есть основания надеяться, что будут приняты надлежащие меры к недопущению протеста.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Сравнение исчисленного показателя за ряд отчетных периодов позволит так же, как и в предыдущем случае, сделать соответствующие выводы. Однако к их оценке надо подходить осторожно. Например, снижение удельного веса кредиторской задолженности, обеспеченной выданными векселями, может свидетельствовать, с одной стороны, об утрате доверия поставщиков к вексельному должнику и их нежелании рассчитываться с ним векселями, но, с другой стороны – о возможной финансовой стабилизации и способности организации рассчитываться с кредиторами денежными средствами.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Определенную информацию несут в себе показатели абсолютного и относительного прироста дебиторской и кредиторской задолженностей, обеспеченных векселями.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Абсолютный прирост по полученным векселям </w:t>
      </w:r>
      <w:r w:rsidRPr="00BB19F8">
        <w:rPr>
          <w:rFonts w:ascii="Verdana" w:eastAsia="Times New Roman" w:hAnsi="Verdana"/>
          <w:i/>
          <w:iCs/>
          <w:color w:val="626161"/>
          <w:lang w:eastAsia="ru-RU"/>
        </w:rPr>
        <w:t>(</w:t>
      </w:r>
      <w:r w:rsidR="00AE40EC">
        <w:rPr>
          <w:rFonts w:ascii="Verdana" w:eastAsia="Times New Roman" w:hAnsi="Verdana"/>
          <w:noProof/>
          <w:color w:val="626161"/>
          <w:lang w:eastAsia="ru-RU"/>
        </w:rPr>
        <w:pict>
          <v:shape id="Рисунок 12" o:spid="_x0000_i1036" type="#_x0000_t75" alt="http://www.cfin.ru/press/afa/2001-4/03_022.gif" style="width:18pt;height:12pt;visibility:visible">
            <v:imagedata r:id="rId16" o:title="03_022"/>
          </v:shape>
        </w:pict>
      </w:r>
      <w:r w:rsidRPr="00BB19F8">
        <w:rPr>
          <w:rFonts w:ascii="Verdana" w:eastAsia="Times New Roman" w:hAnsi="Verdana"/>
          <w:color w:val="626161"/>
          <w:lang w:eastAsia="ru-RU"/>
        </w:rPr>
        <w:t xml:space="preserve"> </w:t>
      </w:r>
      <w:r w:rsidRPr="00BB19F8">
        <w:rPr>
          <w:rFonts w:ascii="Verdana" w:eastAsia="Times New Roman" w:hAnsi="Verdana"/>
          <w:i/>
          <w:iCs/>
          <w:color w:val="626161"/>
          <w:lang w:eastAsia="ru-RU"/>
        </w:rPr>
        <w:t>)</w:t>
      </w:r>
      <w:r w:rsidRPr="00BB19F8">
        <w:rPr>
          <w:rFonts w:ascii="Verdana" w:eastAsia="Times New Roman" w:hAnsi="Verdana"/>
          <w:color w:val="626161"/>
          <w:lang w:eastAsia="ru-RU"/>
        </w:rPr>
        <w:t>определяется как разность между векселями, полученными на конец отчетного периода (</w:t>
      </w:r>
      <w:r w:rsidR="00AE40EC">
        <w:rPr>
          <w:rFonts w:ascii="Verdana" w:eastAsia="Times New Roman" w:hAnsi="Verdana"/>
          <w:noProof/>
          <w:color w:val="626161"/>
          <w:lang w:eastAsia="ru-RU"/>
        </w:rPr>
        <w:pict>
          <v:shape id="Рисунок 13" o:spid="_x0000_i1037" type="#_x0000_t75" alt="http://www.cfin.ru/press/afa/2001-4/03_024.gif" style="width:15pt;height:15pt;visibility:visible">
            <v:imagedata r:id="rId17" o:title="03_024"/>
          </v:shape>
        </w:pict>
      </w:r>
      <w:r w:rsidRPr="00BB19F8">
        <w:rPr>
          <w:rFonts w:ascii="Verdana" w:eastAsia="Times New Roman" w:hAnsi="Verdana"/>
          <w:color w:val="626161"/>
          <w:lang w:eastAsia="ru-RU"/>
        </w:rPr>
        <w:t xml:space="preserve"> ) и на его начало </w:t>
      </w:r>
      <w:r w:rsidRPr="00BB19F8">
        <w:rPr>
          <w:rFonts w:ascii="Verdana" w:eastAsia="Times New Roman" w:hAnsi="Verdana"/>
          <w:i/>
          <w:iCs/>
          <w:color w:val="626161"/>
          <w:lang w:eastAsia="ru-RU"/>
        </w:rPr>
        <w:t>(</w:t>
      </w:r>
      <w:r w:rsidR="00AE40EC">
        <w:rPr>
          <w:rFonts w:ascii="Verdana" w:eastAsia="Times New Roman" w:hAnsi="Verdana"/>
          <w:noProof/>
          <w:color w:val="626161"/>
          <w:lang w:eastAsia="ru-RU"/>
        </w:rPr>
        <w:pict>
          <v:shape id="Рисунок 14" o:spid="_x0000_i1038" type="#_x0000_t75" alt="http://www.cfin.ru/press/afa/2001-4/03_026.gif" style="width:15.75pt;height:15pt;visibility:visible">
            <v:imagedata r:id="rId18" o:title="03_026"/>
          </v:shape>
        </w:pict>
      </w:r>
      <w:r w:rsidRPr="00BB19F8">
        <w:rPr>
          <w:rFonts w:ascii="Verdana" w:eastAsia="Times New Roman" w:hAnsi="Verdana"/>
          <w:color w:val="626161"/>
          <w:lang w:eastAsia="ru-RU"/>
        </w:rPr>
        <w:t xml:space="preserve"> </w:t>
      </w:r>
      <w:r w:rsidRPr="00BB19F8">
        <w:rPr>
          <w:rFonts w:ascii="Verdana" w:eastAsia="Times New Roman" w:hAnsi="Verdana"/>
          <w:i/>
          <w:iCs/>
          <w:color w:val="626161"/>
          <w:lang w:eastAsia="ru-RU"/>
        </w:rPr>
        <w:t>),</w:t>
      </w:r>
      <w:r w:rsidRPr="00BB19F8">
        <w:rPr>
          <w:rFonts w:ascii="Verdana" w:eastAsia="Times New Roman" w:hAnsi="Verdana"/>
          <w:color w:val="626161"/>
          <w:lang w:eastAsia="ru-RU"/>
        </w:rPr>
        <w:t xml:space="preserve">т. е.: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w:t>
      </w:r>
      <w:r w:rsidR="00AE40EC">
        <w:rPr>
          <w:rFonts w:ascii="Verdana" w:eastAsia="Times New Roman" w:hAnsi="Verdana"/>
          <w:noProof/>
          <w:color w:val="626161"/>
          <w:lang w:eastAsia="ru-RU"/>
        </w:rPr>
        <w:pict>
          <v:shape id="Рисунок 15" o:spid="_x0000_i1039" type="#_x0000_t75" alt="http://www.cfin.ru/press/afa/2001-4/03_028.gif" style="width:60.75pt;height:15pt;visibility:visible">
            <v:imagedata r:id="rId19" o:title="03_028"/>
          </v:shape>
        </w:pic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Относительный прирост по полученным векселям (</w:t>
      </w:r>
      <w:r w:rsidR="00AE40EC">
        <w:rPr>
          <w:rFonts w:ascii="Verdana" w:eastAsia="Times New Roman" w:hAnsi="Verdana"/>
          <w:noProof/>
          <w:color w:val="626161"/>
          <w:lang w:eastAsia="ru-RU"/>
        </w:rPr>
        <w:pict>
          <v:shape id="Рисунок 16" o:spid="_x0000_i1040" type="#_x0000_t75" alt="http://www.cfin.ru/press/afa/2001-4/03_030.gif" style="width:18pt;height:12pt;visibility:visible">
            <v:imagedata r:id="rId20" o:title="03_030"/>
          </v:shape>
        </w:pict>
      </w:r>
      <w:r w:rsidRPr="00BB19F8">
        <w:rPr>
          <w:rFonts w:ascii="Verdana" w:eastAsia="Times New Roman" w:hAnsi="Verdana"/>
          <w:color w:val="626161"/>
          <w:lang w:eastAsia="ru-RU"/>
        </w:rPr>
        <w:t xml:space="preserve"> ) определяется отношением абсолютного прироста по полученным векселям к сумме векселей, полученных на начало периода: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w:t>
      </w:r>
      <w:r w:rsidR="00AE40EC">
        <w:rPr>
          <w:rFonts w:ascii="Verdana" w:eastAsia="Times New Roman" w:hAnsi="Verdana"/>
          <w:noProof/>
          <w:color w:val="626161"/>
          <w:lang w:eastAsia="ru-RU"/>
        </w:rPr>
        <w:pict>
          <v:shape id="Рисунок 17" o:spid="_x0000_i1041" type="#_x0000_t75" alt="http://www.cfin.ru/press/afa/2001-4/03_032.gif" style="width:66.75pt;height:27.75pt;visibility:visible">
            <v:imagedata r:id="rId21" o:title="03_032"/>
          </v:shape>
        </w:pic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Отношение дебиторской задолженности по полученным векселям на конец отчетного периода к дебиторской задолженности по полученным векселям на его начало определяет темп роста этой задолженности :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w:t>
      </w:r>
      <w:r w:rsidR="00AE40EC">
        <w:rPr>
          <w:rFonts w:ascii="Verdana" w:eastAsia="Times New Roman" w:hAnsi="Verdana"/>
          <w:noProof/>
          <w:color w:val="626161"/>
          <w:lang w:eastAsia="ru-RU"/>
        </w:rPr>
        <w:pict>
          <v:shape id="Рисунок 18" o:spid="_x0000_i1042" type="#_x0000_t75" alt="http://www.cfin.ru/press/afa/2001-4/03_034.gif" style="width:59.25pt;height:29.25pt;visibility:visible">
            <v:imagedata r:id="rId22" o:title="03_034"/>
          </v:shape>
        </w:pic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Приведенные выше показатели дают возможность судить об абсолютном и относительном приросте задолженности на различные даты отчетного периода, а также о темпах этого прироста. Как и в предыдущем анализе, рост этих показателей на конец отчетного периода по сравнению с его началом будет рассматриваться как положительный момент, однако это требует и возрастающего внимания со стороны руководства организации за состоянием расчетов и особо – сроками погашения векселей. В анализируемой нами организации вся задолженность по векселям полученным и выданным на начало отчетного года была погашена. </w:t>
      </w:r>
    </w:p>
    <w:p w:rsidR="00BB19F8" w:rsidRPr="00BB19F8" w:rsidRDefault="00BB19F8" w:rsidP="00BB19F8">
      <w:pPr>
        <w:spacing w:before="100" w:beforeAutospacing="1" w:after="100" w:afterAutospacing="1" w:line="240" w:lineRule="auto"/>
        <w:outlineLvl w:val="2"/>
        <w:rPr>
          <w:rFonts w:ascii="Verdana" w:eastAsia="Times New Roman" w:hAnsi="Verdana"/>
          <w:b/>
          <w:bCs/>
          <w:color w:val="626161"/>
          <w:sz w:val="27"/>
          <w:szCs w:val="27"/>
          <w:lang w:eastAsia="ru-RU"/>
        </w:rPr>
      </w:pPr>
      <w:r w:rsidRPr="00BB19F8">
        <w:rPr>
          <w:rFonts w:ascii="Verdana" w:eastAsia="Times New Roman" w:hAnsi="Verdana"/>
          <w:b/>
          <w:bCs/>
          <w:color w:val="626161"/>
          <w:sz w:val="27"/>
          <w:szCs w:val="27"/>
          <w:lang w:eastAsia="ru-RU"/>
        </w:rPr>
        <w:t xml:space="preserve">Анализ состава векселей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Данное направление анализа имеет большое значение, поскольку позволяет не только сказать, как изменилась общая картина по векселям, но и сделать выводы конкретно по каждому дебитору, обеспечившему свою задолженность векселями.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Таблица 1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АНАЛИЗ ВЫБЫТИЯ ВЕКСЕЛЕЙ ПО НАПРАВЛЕНИЯМ</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08"/>
        <w:gridCol w:w="770"/>
        <w:gridCol w:w="920"/>
        <w:gridCol w:w="580"/>
        <w:gridCol w:w="769"/>
        <w:gridCol w:w="765"/>
        <w:gridCol w:w="620"/>
        <w:gridCol w:w="769"/>
        <w:gridCol w:w="920"/>
        <w:gridCol w:w="580"/>
      </w:tblGrid>
      <w:tr w:rsidR="00BB19F8" w:rsidRPr="00BB19F8" w:rsidTr="00BB19F8">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На начало</w:t>
            </w:r>
            <w:r w:rsidRPr="00BB19F8">
              <w:rPr>
                <w:rFonts w:ascii="Verdana" w:eastAsia="Times New Roman" w:hAnsi="Verdana"/>
                <w:color w:val="626161"/>
                <w:lang w:eastAsia="ru-RU"/>
              </w:rPr>
              <w:br/>
              <w:t>года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На конец</w:t>
            </w:r>
            <w:r w:rsidRPr="00BB19F8">
              <w:rPr>
                <w:rFonts w:ascii="Verdana" w:eastAsia="Times New Roman" w:hAnsi="Verdana"/>
                <w:color w:val="626161"/>
                <w:lang w:eastAsia="ru-RU"/>
              </w:rPr>
              <w:br/>
              <w:t>года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Отклонения</w:t>
            </w:r>
          </w:p>
        </w:tc>
      </w:tr>
      <w:tr w:rsidR="00BB19F8" w:rsidRPr="00BB19F8" w:rsidTr="00BB19F8">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Направление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выбы</w:t>
            </w:r>
            <w:r w:rsidRPr="00BB19F8">
              <w:rPr>
                <w:rFonts w:ascii="Verdana" w:eastAsia="Times New Roman" w:hAnsi="Verdana"/>
                <w:color w:val="626161"/>
                <w:lang w:eastAsia="ru-RU"/>
              </w:rPr>
              <w:softHyphen/>
              <w:t>тия векселей</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Кол-во,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Номин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ст-ть,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усл.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ден. ед.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Уд.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вес,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Кол-во,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Но</w:t>
            </w:r>
            <w:r w:rsidRPr="00BB19F8">
              <w:rPr>
                <w:rFonts w:ascii="Verdana" w:eastAsia="Times New Roman" w:hAnsi="Verdana"/>
                <w:color w:val="4D4D4D"/>
                <w:lang w:eastAsia="ru-RU"/>
              </w:rPr>
              <w:softHyphen/>
              <w:t xml:space="preserve">мин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ст-ть,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усл.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ден. ед.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Уд.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вес,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Кол-во,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Номин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ст-ть,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усл.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ден. ед.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Уд.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вес,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Всего выбыло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х</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передано по индосаменту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1,5</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продано банку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-4,2</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передано в залог под кредит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w:t>
            </w:r>
          </w:p>
        </w:tc>
      </w:tr>
    </w:tbl>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В ходе проведения такого анализа можно выявить, от кого чаще всего организация принимает векселя, кто из должников дисциплинированно погашает вексельные обязательства, а следовательно, определить круг тех дебиторов, которым впоследствии можно доверять. Анализ проводится по данным Книги учета векселей. Для этого составляется таблица, в которую заносятся сведения обо всех дебиторах: остаток задолженности по векселям на начало года; получено векселей в течение года, погашено векселей за этот же период времени и остаток непогашенной задолженности. Кроме того, в таблице можно выделить отдельной графой данные о векселях просроченных (опротестованных и не опротестованных) по срокам, например: до 12 месяцев, свыше 12 месяцев.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Определенный интерес для анализа могут представлять сведения о количестве, стоимости и удельном весе векселей, переданных по индоссаменту, проданных банку или переданных в залог под кредит. Для такого анализа рекомендуется составить табл. 1.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Данные, отраженные в таблице, свидетельствует о профессионализме работников экономической службы организации и гибкости финансово-вексельной политики, используемой в практике расчетов со своими контрагентами.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Для расширения аналитического поля можно рекомендовать ввести в практику экономической работы комплекс дополнительных показателей: средняя оборачиваемость одного векселя (полученного и выданного); средняя сумма дебиторской и кредиторской задолженности на один вексель (полученный, выданный).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w:t>
      </w:r>
      <w:r w:rsidR="00AE40EC">
        <w:rPr>
          <w:rFonts w:ascii="Verdana" w:eastAsia="Times New Roman" w:hAnsi="Verdana"/>
          <w:noProof/>
          <w:color w:val="626161"/>
          <w:lang w:eastAsia="ru-RU"/>
        </w:rPr>
        <w:pict>
          <v:shape id="Рисунок 19" o:spid="_x0000_i1043" type="#_x0000_t75" alt="http://www.cfin.ru/press/afa/2001-4/03_036.gif" style="width:48pt;height:26.25pt;visibility:visible">
            <v:imagedata r:id="rId23" o:title="03_036"/>
          </v:shape>
        </w:pic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20" o:spid="_x0000_i1044" type="#_x0000_t75" alt="http://www.cfin.ru/press/afa/2001-4/03_038.gif" style="width:14.25pt;height:12pt;visibility:visible">
            <v:imagedata r:id="rId24" o:title="03_038"/>
          </v:shape>
        </w:pict>
      </w:r>
      <w:r w:rsidR="00BB19F8" w:rsidRPr="00BB19F8">
        <w:rPr>
          <w:rFonts w:ascii="Verdana" w:eastAsia="Times New Roman" w:hAnsi="Verdana"/>
          <w:color w:val="626161"/>
          <w:lang w:eastAsia="ru-RU"/>
        </w:rPr>
        <w:t xml:space="preserve">- средняя продолжительность оборота одного векселя, дней.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21" o:spid="_x0000_i1045" type="#_x0000_t75" alt="http://www.cfin.ru/press/afa/2001-4/03_040.gif" style="width:14.25pt;height:12pt;visibility:visible">
            <v:imagedata r:id="rId25" o:title="03_040"/>
          </v:shape>
        </w:pict>
      </w:r>
      <w:r w:rsidR="00BB19F8" w:rsidRPr="00BB19F8">
        <w:rPr>
          <w:rFonts w:ascii="Verdana" w:eastAsia="Times New Roman" w:hAnsi="Verdana"/>
          <w:color w:val="626161"/>
          <w:lang w:eastAsia="ru-RU"/>
        </w:rPr>
        <w:t xml:space="preserve">– средняя сумма вексельной задолженности, тыс. руб.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w:t>
      </w:r>
      <w:r w:rsidR="00AE40EC">
        <w:rPr>
          <w:rFonts w:ascii="Verdana" w:eastAsia="Times New Roman" w:hAnsi="Verdana"/>
          <w:noProof/>
          <w:color w:val="626161"/>
          <w:lang w:eastAsia="ru-RU"/>
        </w:rPr>
        <w:pict>
          <v:shape id="Рисунок 22" o:spid="_x0000_i1046" type="#_x0000_t75" alt="http://www.cfin.ru/press/afa/2001-4/03_042.gif" style="width:9pt;height:11.25pt;visibility:visible">
            <v:imagedata r:id="rId26" o:title="03_042"/>
          </v:shape>
        </w:pict>
      </w:r>
      <w:r w:rsidRPr="00BB19F8">
        <w:rPr>
          <w:rFonts w:ascii="Verdana" w:eastAsia="Times New Roman" w:hAnsi="Verdana"/>
          <w:color w:val="626161"/>
          <w:lang w:eastAsia="ru-RU"/>
        </w:rPr>
        <w:t xml:space="preserve">– количество дней в анализируемом периоде;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w:t>
      </w:r>
      <w:r w:rsidR="00AE40EC">
        <w:rPr>
          <w:rFonts w:ascii="Verdana" w:eastAsia="Times New Roman" w:hAnsi="Verdana"/>
          <w:noProof/>
          <w:color w:val="626161"/>
          <w:lang w:eastAsia="ru-RU"/>
        </w:rPr>
        <w:pict>
          <v:shape id="Рисунок 23" o:spid="_x0000_i1047" type="#_x0000_t75" alt="http://www.cfin.ru/press/afa/2001-4/03_044.gif" style="width:9pt;height:12pt;visibility:visible">
            <v:imagedata r:id="rId27" o:title="03_044"/>
          </v:shape>
        </w:pict>
      </w:r>
      <w:r w:rsidRPr="00BB19F8">
        <w:rPr>
          <w:rFonts w:ascii="Verdana" w:eastAsia="Times New Roman" w:hAnsi="Verdana"/>
          <w:color w:val="626161"/>
          <w:lang w:eastAsia="ru-RU"/>
        </w:rPr>
        <w:t xml:space="preserve">  – оборот по реализации (выручка) без НДС и акцизов, тыс. руб.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Средняя сумма дебиторской (кредиторской) задолженности на один вексель определяется как частное от деления: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24" o:spid="_x0000_i1048" type="#_x0000_t75" alt="http://www.cfin.ru/press/afa/2001-4/03_046.gif" style="width:24pt;height:27pt;visibility:visible">
            <v:imagedata r:id="rId28" o:title="03_046"/>
          </v:shape>
        </w:pict>
      </w:r>
      <w:r w:rsidR="00BB19F8" w:rsidRPr="00BB19F8">
        <w:rPr>
          <w:rFonts w:ascii="Verdana" w:eastAsia="Times New Roman" w:hAnsi="Verdana"/>
          <w:color w:val="626161"/>
          <w:lang w:eastAsia="ru-RU"/>
        </w:rPr>
        <w:t xml:space="preserve">,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где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25" o:spid="_x0000_i1049" type="#_x0000_t75" alt="http://www.cfin.ru/press/afa/2001-4/03_048.gif" style="width:20.25pt;height:14.25pt;visibility:visible">
            <v:imagedata r:id="rId29" o:title="03_048"/>
          </v:shape>
        </w:pict>
      </w:r>
      <w:r w:rsidR="00BB19F8" w:rsidRPr="00BB19F8">
        <w:rPr>
          <w:rFonts w:ascii="Verdana" w:eastAsia="Times New Roman" w:hAnsi="Verdana"/>
          <w:color w:val="626161"/>
          <w:lang w:eastAsia="ru-RU"/>
        </w:rPr>
        <w:t xml:space="preserve">- средняя сумма векселей полученных (выданных);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26" o:spid="_x0000_i1050" type="#_x0000_t75" alt="http://www.cfin.ru/press/afa/2001-4/03_050.gif" style="width:20.25pt;height:14.25pt;visibility:visible">
            <v:imagedata r:id="rId30" o:title="03_050"/>
          </v:shape>
        </w:pict>
      </w:r>
      <w:r w:rsidR="00BB19F8" w:rsidRPr="00BB19F8">
        <w:rPr>
          <w:rFonts w:ascii="Verdana" w:eastAsia="Times New Roman" w:hAnsi="Verdana"/>
          <w:color w:val="626161"/>
          <w:lang w:eastAsia="ru-RU"/>
        </w:rPr>
        <w:t xml:space="preserve">- среднее количество векселей полученных (выданных).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Анализ движения полученных либо выданных векселей в составе дебиторской или кредиторской задолженности целесообразно провести по следующей форме (табл. 2).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Кроме того, целесообразно рассчитать и проанализировать процент опротестованных векселей, который определяется по формуле: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27" o:spid="_x0000_i1051" type="#_x0000_t75" alt="http://www.cfin.ru/press/afa/2001-4/03_052.gif" style="width:66.75pt;height:25.5pt;visibility:visible">
            <v:imagedata r:id="rId31" o:title="03_052"/>
          </v:shape>
        </w:pict>
      </w:r>
      <w:r w:rsidR="00BB19F8" w:rsidRPr="00BB19F8">
        <w:rPr>
          <w:rFonts w:ascii="Verdana" w:eastAsia="Times New Roman" w:hAnsi="Verdana"/>
          <w:color w:val="626161"/>
          <w:lang w:eastAsia="ru-RU"/>
        </w:rPr>
        <w:t xml:space="preserve">,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где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28" o:spid="_x0000_i1052" type="#_x0000_t75" alt="http://www.cfin.ru/press/afa/2001-4/03_054.gif" style="width:20.25pt;height:14.25pt;visibility:visible">
            <v:imagedata r:id="rId32" o:title="03_054"/>
          </v:shape>
        </w:pict>
      </w:r>
      <w:r w:rsidR="00BB19F8" w:rsidRPr="00BB19F8">
        <w:rPr>
          <w:rFonts w:ascii="Verdana" w:eastAsia="Times New Roman" w:hAnsi="Verdana"/>
          <w:color w:val="626161"/>
          <w:lang w:eastAsia="ru-RU"/>
        </w:rPr>
        <w:t xml:space="preserve">- процент опротестованных векселей;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w:t>
      </w:r>
      <w:r w:rsidR="00AE40EC">
        <w:rPr>
          <w:rFonts w:ascii="Verdana" w:eastAsia="Times New Roman" w:hAnsi="Verdana"/>
          <w:noProof/>
          <w:color w:val="626161"/>
          <w:lang w:eastAsia="ru-RU"/>
        </w:rPr>
        <w:pict>
          <v:shape id="Рисунок 29" o:spid="_x0000_i1053" type="#_x0000_t75" alt="http://www.cfin.ru/press/afa/2001-4/03_056.gif" style="width:11.25pt;height:12pt;visibility:visible">
            <v:imagedata r:id="rId33" o:title="03_056"/>
          </v:shape>
        </w:pict>
      </w:r>
      <w:r w:rsidRPr="00BB19F8">
        <w:rPr>
          <w:rFonts w:ascii="Verdana" w:eastAsia="Times New Roman" w:hAnsi="Verdana"/>
          <w:color w:val="626161"/>
          <w:lang w:eastAsia="ru-RU"/>
        </w:rPr>
        <w:t xml:space="preserve">- общее количество(сумма) векселей;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w:t>
      </w:r>
      <w:r w:rsidR="00AE40EC">
        <w:rPr>
          <w:rFonts w:ascii="Verdana" w:eastAsia="Times New Roman" w:hAnsi="Verdana"/>
          <w:noProof/>
          <w:color w:val="626161"/>
          <w:lang w:eastAsia="ru-RU"/>
        </w:rPr>
        <w:pict>
          <v:shape id="Рисунок 30" o:spid="_x0000_i1054" type="#_x0000_t75" alt="http://www.cfin.ru/press/afa/2001-4/03_058.gif" style="width:14.25pt;height:14.25pt;visibility:visible">
            <v:imagedata r:id="rId34" o:title="03_058"/>
          </v:shape>
        </w:pict>
      </w:r>
      <w:r w:rsidRPr="00BB19F8">
        <w:rPr>
          <w:rFonts w:ascii="Verdana" w:eastAsia="Times New Roman" w:hAnsi="Verdana"/>
          <w:color w:val="626161"/>
          <w:lang w:eastAsia="ru-RU"/>
        </w:rPr>
        <w:t xml:space="preserve">  - количество(сумма) опротестованных векселей.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При этом, рост удельного веса опротестованных векселей будет свидетельствовать о недостатках в организации контроля за состоянием расчетно-платежной дисциплины, что потребует дополнительного анализа претензионной работы и разработки соответствующих мероприятий. Рост этого показателя будет свидетельствовать также об ухудшении расчетно-платежной дисциплины, и необходимости повышения осмотрительности при выборе покупателей, а также определения иных форм расчетов с ними за поставленные товары, выполненные работы и оказанные услуги.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Таблица 2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АНАЛИЗ ДВИЖЕНИЯ ВЕКСЕЛЕЙ ПОЛУЧЕННЫХ </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866"/>
        <w:gridCol w:w="2141"/>
        <w:gridCol w:w="1421"/>
        <w:gridCol w:w="1450"/>
        <w:gridCol w:w="2123"/>
      </w:tblGrid>
      <w:tr w:rsidR="00BB19F8" w:rsidRPr="00BB19F8" w:rsidTr="00BB19F8">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Наименование дебитора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Остаток задолженности по векселям на начало года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тыс. руб.</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Получено векселей в отчетном году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тыс. руб.</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Погашено векселей в отчетном году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тыс. руб.</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Непогашенный остаток по векселям на конец года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тыс. руб.</w:t>
            </w:r>
          </w:p>
        </w:tc>
      </w:tr>
      <w:tr w:rsidR="00BB19F8" w:rsidRPr="00BB19F8" w:rsidTr="00BB19F8">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АОЗТ «Весна»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90</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ООО «Труд»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200</w:t>
            </w:r>
          </w:p>
        </w:tc>
      </w:tr>
    </w:tbl>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Анализируемая нами организация – АООТ "Прогресс", как правило, ведет расчеты векселями с постоянными партнерами, зарекомендовавшими себя добросовестными плательщиками. В свою очередь, она прилагает все усилия, чтобы не подорвать и свой авторитет на отечественном рынке. Она широко пользуется финансовыми векселями, погашая ими задолженность за приобретаемые товары, применяет индоссамент, производит обмен векселями и т. п. Все это свидетельствует о способности работников организации вести последовательную и квалифицированную работу с векселями и способствует выявлению резервов улучшения финансового состояния за счет такой работы. </w:t>
      </w:r>
    </w:p>
    <w:p w:rsidR="00BB19F8" w:rsidRPr="00BB19F8" w:rsidRDefault="00BB19F8" w:rsidP="00BB19F8">
      <w:pPr>
        <w:spacing w:before="100" w:beforeAutospacing="1" w:after="100" w:afterAutospacing="1" w:line="240" w:lineRule="auto"/>
        <w:outlineLvl w:val="2"/>
        <w:rPr>
          <w:rFonts w:ascii="Verdana" w:eastAsia="Times New Roman" w:hAnsi="Verdana"/>
          <w:b/>
          <w:bCs/>
          <w:color w:val="626161"/>
          <w:sz w:val="27"/>
          <w:szCs w:val="27"/>
          <w:lang w:eastAsia="ru-RU"/>
        </w:rPr>
      </w:pPr>
      <w:r w:rsidRPr="00BB19F8">
        <w:rPr>
          <w:rFonts w:ascii="Verdana" w:eastAsia="Times New Roman" w:hAnsi="Verdana"/>
          <w:b/>
          <w:bCs/>
          <w:color w:val="626161"/>
          <w:sz w:val="27"/>
          <w:szCs w:val="27"/>
          <w:lang w:eastAsia="ru-RU"/>
        </w:rPr>
        <w:t xml:space="preserve">Анализ платежеспособности организации с учетом использования векселей в расчетах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Для обоснованной оценки платежеспособности организации рекомендуется проводить анализ ликвидности баланса. Цель такого анализа состоит в том, чтобы оценить способность организации без нарушения нормального хода производственно-хозяйственной деятельности произвести срочные платежи за счет соответствующих им по срокам поступлений средств от реализации продукции, товаров, выполненных работ или оказанных услуг. Для этого сопоставляют средства, отраженные в активе баланса и сгруппированные по срокам возможно быстрого превращения в денежные средства, с обязательствами из пассива баланса, сгруппированными по степени срочности предстоящей их оплаты.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В экономической литературе рекомендуется выделять с целью такого анализа следующие группы ликвидных средств: </w:t>
      </w:r>
    </w:p>
    <w:p w:rsidR="00BB19F8" w:rsidRPr="00BB19F8" w:rsidRDefault="00BB19F8" w:rsidP="00BB19F8">
      <w:pPr>
        <w:numPr>
          <w:ilvl w:val="0"/>
          <w:numId w:val="4"/>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денежные средства и краткосрочные финансовые вложения (стр. 250 и 260 II-го раздела актива баланса); </w:t>
      </w:r>
    </w:p>
    <w:p w:rsidR="00BB19F8" w:rsidRPr="00BB19F8" w:rsidRDefault="00BB19F8" w:rsidP="00BB19F8">
      <w:pPr>
        <w:numPr>
          <w:ilvl w:val="0"/>
          <w:numId w:val="4"/>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легкореализуемые требования (расчеты с дебиторами в пределах допустимой задолженности, платежи по которой ожидаются в течение 12 месяцев после отчетной даты (стр. 240 II-го раздела актива баланса); </w:t>
      </w:r>
    </w:p>
    <w:p w:rsidR="00BB19F8" w:rsidRPr="00BB19F8" w:rsidRDefault="00BB19F8" w:rsidP="00BB19F8">
      <w:pPr>
        <w:numPr>
          <w:ilvl w:val="0"/>
          <w:numId w:val="4"/>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легкореализуемые элементы запасов (стр. 210 II-го раздела актива баланса), скорректированные на оборачиваемость в пределах 360 дней.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Для оценки платежеспособности сопоставляют ликвидные средства с суммой текущих платежных обязательств, которые складываются из краткосрочных обязательств (V-й раздел пассива баланса за вычетом стр. 640 «Доходы будущих периодов» и 650 «Резервы предстоящих расходов»), а также части долгосрочных кредитов и займов, погашение которых должно быть произведено в ближайшие 12 месяцев (т. е. выборка данных из раздела IV-го раздела пассива баланса). При этом могут быть получены различные коэффициенты: </w:t>
      </w:r>
    </w:p>
    <w:p w:rsidR="00BB19F8" w:rsidRPr="00BB19F8" w:rsidRDefault="00BB19F8" w:rsidP="00BB19F8">
      <w:pPr>
        <w:numPr>
          <w:ilvl w:val="0"/>
          <w:numId w:val="5"/>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коэффициент покрытия баланса, рассчитываемый как отношение суммы всех трех групп ликвидных средств к сумме текущих платежных обязательств; </w:t>
      </w:r>
    </w:p>
    <w:p w:rsidR="00BB19F8" w:rsidRPr="00BB19F8" w:rsidRDefault="00BB19F8" w:rsidP="00BB19F8">
      <w:pPr>
        <w:numPr>
          <w:ilvl w:val="0"/>
          <w:numId w:val="5"/>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промежуточный коэффициент покрытия, рассчитываемый как отношение суммы денежных средств, краткосрочных финансовых вложений и легкореализуемых требований к сумме текущих платежных обязательств; </w:t>
      </w:r>
    </w:p>
    <w:p w:rsidR="00BB19F8" w:rsidRPr="00BB19F8" w:rsidRDefault="00BB19F8" w:rsidP="00BB19F8">
      <w:pPr>
        <w:numPr>
          <w:ilvl w:val="0"/>
          <w:numId w:val="5"/>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коэффициент абсолютной ликвидности, рассчитываемый как отношение денежных средств и краткосрочных финансовых вложений к сумме текущих платежных обязательств.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Нетрудно заметить, что все названные коэффициенты в той или иной мере содержат исследуемую нами категорию: кредиторскую или дебиторскую задолженность, обеспеченную векселями, которая влияет на величину либо числителя, либо знаменателя, либо того и другого. Соответственно, рост доли векселей в составе дебиторской задолженности будет положительно влиять на динамику показателей платежеспособности, а увеличение вексельной задолженности в составе кредиторских обязательств будет воздействовать на платежеспособность в противоположном направлении. Это следует учитывать при оценке указанных выше показателей, принимая во внимание, что теоретически достаточные минимальные значения этих коэффициентов составляют: </w:t>
      </w:r>
    </w:p>
    <w:p w:rsidR="00BB19F8" w:rsidRPr="00BB19F8" w:rsidRDefault="00BB19F8" w:rsidP="00BB19F8">
      <w:pPr>
        <w:numPr>
          <w:ilvl w:val="0"/>
          <w:numId w:val="6"/>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для коэффициента абсолютной ликвидности – 0,2 - 0,25; </w:t>
      </w:r>
    </w:p>
    <w:p w:rsidR="00BB19F8" w:rsidRPr="00BB19F8" w:rsidRDefault="00BB19F8" w:rsidP="00BB19F8">
      <w:pPr>
        <w:numPr>
          <w:ilvl w:val="0"/>
          <w:numId w:val="6"/>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для коэффициента промежуточного покрытия – 0,7 - 0,8; </w:t>
      </w:r>
    </w:p>
    <w:p w:rsidR="00BB19F8" w:rsidRPr="00BB19F8" w:rsidRDefault="00BB19F8" w:rsidP="00BB19F8">
      <w:pPr>
        <w:numPr>
          <w:ilvl w:val="0"/>
          <w:numId w:val="6"/>
        </w:num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для коэффициента покрытия баланса – 2,0 - 2,5.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В анализируемой нами организации - АООТ "Прогресс" значения этих коэффициентов на конец отчетного года составили соответственно 0,02 ((40 + 29) : 2954 ); 0,36 (( 40 + 29 + 1005) : 2954); 1,0 ((40 + 29 + 1005 + 1907) : 2954). Расчеты показывают, что значения этих коэффициентов не достигают теоретически оправданных оценок, что свидетельствует о недостаточной степени платежеспособности организации и служит сигналом к тому, что организации трудно будет расплатиться со своими кредиторами, в том числе и по вексельным долгам. Но даже в этой ситуации наличие дебиторской задолженности, обеспеченной векселями (в составе ликвидных средств), будет положительно влиять на общую оценку платежеспособности.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Одной из основных операций, осуществляемых организациями с векселями, является продажа их банкам и получение в результате этого вексельной суммы за вычетом определенного процента. Таким образом, при наличии у организации полученных от сторонних лиц векселей можно считать, что она располагает денежными средствами в сумме вексельных долгов к получению за минусом определенного процента (учетного процента или дисконта) по ставке, установленной банком. Исходя из этого при анализе платежеспособности организации наряду с вышеуказанными коэффициентами можно исчислить коэффициент сверхбыстрой ликвидности, представляющий собой отношение суммы денежных средств, которой располагает организация (строка 260 "Денежные средства" актива баланса), и величины задолженности по векселям полученным (строка 242 актива баланса "Векселя к получению" за минусом дисконта) к текущим обязательствам (итог V-го раздела "Краткосрочные обязательства" за минусом 650 "Резервы предстоящих расходов" и 640 "Доходы будущих периодов" пассива баланса).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Этот коэффициент показывает, какая часть текущей кредиторской задолженности может быть погашена между датами постановки на учет векселей в банке и поступления последнего платежа за проданные ценные бумаги. Для определения значения данного коэффициента необходимо исчислить сумму дисконта, которая будет удержана банком при принятии векселей к учету. Разность между сальдо субсчета "Векселя к получению" по счету 62 "Расчеты с покупателями и заказчиками", отраженная в отчетности организации, и полученной суммой дисконта будет представлять цену, за которую векселя, принадлежащие организации, могут быть проданы банку. Именно эта сумма и должна быть включена в расчет коэффициента сверхбыстрой ликвидности. Величину дисконта можно получить, зная процент банка и средний срок погашения векселя. Например, средний срок платежа по векселям в анализируемой организации составил за отчетный период 120 дней. Дисконтная ставка банка за этот период – 15 %. Сумма задолженности по векселям полученным на анализируемую дату – 621 тыс. руб. Предполагаемый размер дисконта составит 93 тыс. руб. (621*15 : 100). Нормальное значение коэффициента сверхбыстрой ликвидности, по оценкам специалистов, должно превышать 0,2 или 20 %. Для анализируемой нами организации этот коэффициент составляет 0,19 ((29 + 621 – 93) : 2954), то есть близок к допустимым границам, что свидетельствует о потенциальной возможности погасить свои долги, в том числе и по векселям. </w:t>
      </w:r>
    </w:p>
    <w:p w:rsidR="00BB19F8" w:rsidRPr="00BB19F8" w:rsidRDefault="00BB19F8" w:rsidP="00BB19F8">
      <w:pPr>
        <w:spacing w:before="100" w:beforeAutospacing="1" w:after="100" w:afterAutospacing="1" w:line="240" w:lineRule="auto"/>
        <w:outlineLvl w:val="2"/>
        <w:rPr>
          <w:rFonts w:ascii="Verdana" w:eastAsia="Times New Roman" w:hAnsi="Verdana"/>
          <w:b/>
          <w:bCs/>
          <w:color w:val="626161"/>
          <w:sz w:val="27"/>
          <w:szCs w:val="27"/>
          <w:lang w:eastAsia="ru-RU"/>
        </w:rPr>
      </w:pPr>
      <w:r w:rsidRPr="00BB19F8">
        <w:rPr>
          <w:rFonts w:ascii="Verdana" w:eastAsia="Times New Roman" w:hAnsi="Verdana"/>
          <w:b/>
          <w:bCs/>
          <w:color w:val="626161"/>
          <w:sz w:val="27"/>
          <w:szCs w:val="27"/>
          <w:lang w:eastAsia="ru-RU"/>
        </w:rPr>
        <w:t xml:space="preserve">Анализ эффективности использования векселей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Вложение капитала в вексельное обращение является относительно новым для нашей экономики объектом управления и, соответственно, новым объектом учета, контроля и анализа. Однако удельный вес векселей в имущественной массе всех активов предприятия в настоящее время низок по отношению к аналогичным показателям предприятий в странах с развитой рыночной экономикой. Поэтому практический опыт организации учетно-аналитического обеспечения управления вексельным обращением еще недостаточен и не позволяет сделать глобальных обобщений и надежных рекомендаций. Тем не менее анализ эффективности использования векселей все более и более интересует работников экономических служб предприятий как в силу очевидных недостатков правового регулирования вексельного обращения, так и в силу экономических преимуществ, связанных с умением использовать вексель в качестве орудия обращения, взамен наличных денег. Это обстоятельство в известной мере расширяет рамки воспроизводства в рыночной экономике, поскольку умелое использование векселя взамен наличных денег может существенно повысить доходность предприятия.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Таблица 3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АНАЛИЗ ЭФФЕКТИВНОСТИ РАСЧЕТОВ ВЕКСЕЛЯМИ </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30"/>
        <w:gridCol w:w="1022"/>
        <w:gridCol w:w="1022"/>
        <w:gridCol w:w="1338"/>
        <w:gridCol w:w="1153"/>
        <w:gridCol w:w="1153"/>
        <w:gridCol w:w="2257"/>
      </w:tblGrid>
      <w:tr w:rsidR="00BB19F8" w:rsidRPr="00BB19F8" w:rsidTr="00BB19F8">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Хозяйствен-ный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партнер</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Дата вы-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дачи векселя</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Дата оплаты векселя</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Номиналь-ная сумма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векселя, руб.</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Проц. по векселю,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Доход по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векселю,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руб.</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Прибыль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организациивсего, руб.</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b/>
                <w:bCs/>
                <w:color w:val="4D4D4D"/>
                <w:lang w:eastAsia="ru-RU"/>
              </w:rPr>
              <w:t>ООО</w:t>
            </w:r>
            <w:r w:rsidRPr="00BB19F8">
              <w:rPr>
                <w:rFonts w:ascii="Verdana" w:eastAsia="Times New Roman" w:hAnsi="Verdana"/>
                <w:color w:val="4D4D4D"/>
                <w:lang w:eastAsia="ru-RU"/>
              </w:rPr>
              <w:t xml:space="preserve">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b/>
                <w:bCs/>
                <w:color w:val="626161"/>
                <w:lang w:eastAsia="ru-RU"/>
              </w:rPr>
              <w:t>«Авиатор»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3.01.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3.04.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b/>
                <w:bCs/>
                <w:color w:val="4D4D4D"/>
                <w:lang w:eastAsia="ru-RU"/>
              </w:rPr>
              <w:t>ґ</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ЗАО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"Авто"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6.03.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5.05.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х</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ЧП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«Волга»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21.10.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х</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160 000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4673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20000</w:t>
            </w:r>
          </w:p>
        </w:tc>
      </w:tr>
    </w:tbl>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Эффективность использования подобных финан</w:t>
      </w:r>
      <w:r w:rsidRPr="00BB19F8">
        <w:rPr>
          <w:rFonts w:ascii="Verdana" w:eastAsia="Times New Roman" w:hAnsi="Verdana"/>
          <w:color w:val="626161"/>
          <w:lang w:eastAsia="ru-RU"/>
        </w:rPr>
        <w:softHyphen/>
        <w:t>совых инструментов проявляется в частности в том, что предприятие-поставщик, используя в расчетах векселя, получает процентный доход как в рублях, так и в иностранной валюте. Для оценки уровня эффективности расчетов векселями можно восполь</w:t>
      </w:r>
      <w:r w:rsidRPr="00BB19F8">
        <w:rPr>
          <w:rFonts w:ascii="Verdana" w:eastAsia="Times New Roman" w:hAnsi="Verdana"/>
          <w:color w:val="626161"/>
          <w:lang w:eastAsia="ru-RU"/>
        </w:rPr>
        <w:softHyphen/>
        <w:t xml:space="preserve">зоваться данными таблицы, составленной по следующей форме (табл. 3).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Справочно:</w:t>
      </w:r>
      <w:r w:rsidRPr="00BB19F8">
        <w:rPr>
          <w:rFonts w:ascii="Verdana" w:eastAsia="Times New Roman" w:hAnsi="Verdana"/>
          <w:color w:val="626161"/>
          <w:u w:val="single"/>
          <w:lang w:eastAsia="ru-RU"/>
        </w:rPr>
        <w:t xml:space="preserve"> Доход по векселю определяется по формуле:</w:t>
      </w:r>
      <w:r w:rsidRPr="00BB19F8">
        <w:rPr>
          <w:rFonts w:ascii="Verdana" w:eastAsia="Times New Roman" w:hAnsi="Verdana"/>
          <w:color w:val="626161"/>
          <w:lang w:eastAsia="ru-RU"/>
        </w:rPr>
        <w:t xml:space="preserve">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31" o:spid="_x0000_i1055" type="#_x0000_t75" alt="http://www.cfin.ru/press/afa/2001-4/03_060.gif" style="width:65.25pt;height:25.5pt;visibility:visible">
            <v:imagedata r:id="rId35" o:title="03_060"/>
          </v:shape>
        </w:pict>
      </w:r>
      <w:r w:rsidR="00BB19F8" w:rsidRPr="00BB19F8">
        <w:rPr>
          <w:rFonts w:ascii="Verdana" w:eastAsia="Times New Roman" w:hAnsi="Verdana"/>
          <w:color w:val="626161"/>
          <w:lang w:eastAsia="ru-RU"/>
        </w:rPr>
        <w:t xml:space="preserve">,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где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32" o:spid="_x0000_i1056" type="#_x0000_t75" alt="http://www.cfin.ru/press/afa/2001-4/03_062.gif" style="width:11.25pt;height:11.25pt;visibility:visible">
            <v:imagedata r:id="rId36" o:title="03_062"/>
          </v:shape>
        </w:pict>
      </w:r>
      <w:r w:rsidR="00BB19F8" w:rsidRPr="00BB19F8">
        <w:rPr>
          <w:rFonts w:ascii="Verdana" w:eastAsia="Times New Roman" w:hAnsi="Verdana"/>
          <w:color w:val="626161"/>
          <w:lang w:eastAsia="ru-RU"/>
        </w:rPr>
        <w:t xml:space="preserve">  - номинал векселя;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33" o:spid="_x0000_i1057" type="#_x0000_t75" alt="http://www.cfin.ru/press/afa/2001-4/03_064.gif" style="width:11.25pt;height:11.25pt;visibility:visible">
            <v:imagedata r:id="rId37" o:title="03_064"/>
          </v:shape>
        </w:pict>
      </w:r>
      <w:r w:rsidR="00BB19F8" w:rsidRPr="00BB19F8">
        <w:rPr>
          <w:rFonts w:ascii="Verdana" w:eastAsia="Times New Roman" w:hAnsi="Verdana"/>
          <w:color w:val="626161"/>
          <w:lang w:eastAsia="ru-RU"/>
        </w:rPr>
        <w:t xml:space="preserve">- процентная ставка по векселю;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34" o:spid="_x0000_i1058" type="#_x0000_t75" alt="http://www.cfin.ru/press/afa/2001-4/03_066.gif" style="width:9pt;height:11.25pt;visibility:visible">
            <v:imagedata r:id="rId26" o:title="03_066"/>
          </v:shape>
        </w:pict>
      </w:r>
      <w:r w:rsidR="00BB19F8" w:rsidRPr="00BB19F8">
        <w:rPr>
          <w:rFonts w:ascii="Verdana" w:eastAsia="Times New Roman" w:hAnsi="Verdana"/>
          <w:color w:val="626161"/>
          <w:lang w:eastAsia="ru-RU"/>
        </w:rPr>
        <w:t xml:space="preserve">- количество дней от выдачи векселя до его погашения.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Таким образом, процентный доход по векселям полученным составит: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от ООО «Авиатор» –</w:t>
      </w:r>
      <w:r w:rsidRPr="00BB19F8">
        <w:rPr>
          <w:rFonts w:ascii="Verdana" w:eastAsia="Times New Roman" w:hAnsi="Verdana"/>
          <w:color w:val="626161"/>
          <w:lang w:eastAsia="ru-RU"/>
        </w:rPr>
        <w:br/>
      </w:r>
      <w:r w:rsidR="00AE40EC">
        <w:rPr>
          <w:rFonts w:ascii="Verdana" w:eastAsia="Times New Roman" w:hAnsi="Verdana"/>
          <w:noProof/>
          <w:color w:val="626161"/>
          <w:lang w:eastAsia="ru-RU"/>
        </w:rPr>
        <w:pict>
          <v:shape id="Рисунок 35" o:spid="_x0000_i1059" type="#_x0000_t75" alt="http://www.cfin.ru/press/afa/2001-4/03_068.gif" style="width:9pt;height:16.5pt;visibility:visible">
            <v:imagedata r:id="rId38" o:title="03_068"/>
          </v:shape>
        </w:pict>
      </w:r>
      <w:r w:rsidR="00AE40EC">
        <w:rPr>
          <w:rFonts w:ascii="Verdana" w:eastAsia="Times New Roman" w:hAnsi="Verdana"/>
          <w:noProof/>
          <w:color w:val="626161"/>
          <w:lang w:eastAsia="ru-RU"/>
        </w:rPr>
        <w:pict>
          <v:shape id="Рисунок 36" o:spid="_x0000_i1060" type="#_x0000_t75" alt="http://www.cfin.ru/press/afa/2001-4/03_070.gif" style="width:158.25pt;height:25.5pt;visibility:visible">
            <v:imagedata r:id="rId39" o:title="03_070"/>
          </v:shape>
        </w:pict>
      </w:r>
      <w:r w:rsidRPr="00BB19F8">
        <w:rPr>
          <w:rFonts w:ascii="Verdana" w:eastAsia="Times New Roman" w:hAnsi="Verdana"/>
          <w:color w:val="626161"/>
          <w:lang w:eastAsia="ru-RU"/>
        </w:rPr>
        <w:t xml:space="preserve">  руб.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от ЗАО «Авто» –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37" o:spid="_x0000_i1061" type="#_x0000_t75" alt="http://www.cfin.ru/press/afa/2001-4/03_071.gif" style="width:9pt;height:16.5pt;visibility:visible">
            <v:imagedata r:id="rId38" o:title="03_071"/>
          </v:shape>
        </w:pict>
      </w:r>
      <w:r>
        <w:rPr>
          <w:rFonts w:ascii="Verdana" w:eastAsia="Times New Roman" w:hAnsi="Verdana"/>
          <w:noProof/>
          <w:color w:val="626161"/>
          <w:lang w:eastAsia="ru-RU"/>
        </w:rPr>
        <w:pict>
          <v:shape id="Рисунок 38" o:spid="_x0000_i1062" type="#_x0000_t75" alt="http://www.cfin.ru/press/afa/2001-4/03_073.gif" style="width:155.25pt;height:25.5pt;visibility:visible">
            <v:imagedata r:id="rId40" o:title="03_073"/>
          </v:shape>
        </w:pict>
      </w:r>
      <w:r w:rsidR="00BB19F8" w:rsidRPr="00BB19F8">
        <w:rPr>
          <w:rFonts w:ascii="Verdana" w:eastAsia="Times New Roman" w:hAnsi="Verdana"/>
          <w:color w:val="626161"/>
          <w:lang w:eastAsia="ru-RU"/>
        </w:rPr>
        <w:t xml:space="preserve">  руб.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от ЧП «Волга» –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39" o:spid="_x0000_i1063" type="#_x0000_t75" alt="http://www.cfin.ru/press/afa/2001-4/03_074.gif" style="width:9pt;height:16.5pt;visibility:visible">
            <v:imagedata r:id="rId38" o:title="03_074"/>
          </v:shape>
        </w:pict>
      </w:r>
      <w:r>
        <w:rPr>
          <w:rFonts w:ascii="Verdana" w:eastAsia="Times New Roman" w:hAnsi="Verdana"/>
          <w:noProof/>
          <w:color w:val="626161"/>
          <w:lang w:eastAsia="ru-RU"/>
        </w:rPr>
        <w:pict>
          <v:shape id="Рисунок 40" o:spid="_x0000_i1064" type="#_x0000_t75" alt="http://www.cfin.ru/press/afa/2001-4/03_076.gif" style="width:153pt;height:25.5pt;visibility:visible">
            <v:imagedata r:id="rId41" o:title="03_076"/>
          </v:shape>
        </w:pict>
      </w:r>
      <w:r w:rsidR="00BB19F8" w:rsidRPr="00BB19F8">
        <w:rPr>
          <w:rFonts w:ascii="Verdana" w:eastAsia="Times New Roman" w:hAnsi="Verdana"/>
          <w:color w:val="626161"/>
          <w:lang w:eastAsia="ru-RU"/>
        </w:rPr>
        <w:t xml:space="preserve">  руб.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Данные этой таблицы говорят о том, что использо</w:t>
      </w:r>
      <w:r w:rsidRPr="00BB19F8">
        <w:rPr>
          <w:rFonts w:ascii="Verdana" w:eastAsia="Times New Roman" w:hAnsi="Verdana"/>
          <w:color w:val="626161"/>
          <w:lang w:eastAsia="ru-RU"/>
        </w:rPr>
        <w:softHyphen/>
        <w:t xml:space="preserve">вание векселей для расчетов с покупателями приносит экономическую выгоду. Дополнительный доход от расчетов с использованием векселей составил 4 673 руб., что в общей сумме прибыли заняло 23,4 %.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Особое значение для управления экономикой организации имеют показатели эффективности использования векселей, отражающие степень их влияния на финансовое состояние и финансовые результаты деятельности организации. По данным баланса организации и приложения к нему (по форме № 5) можно провести анализ динамики изменений в общем объеме векселей и по их видам (простой и переводной) за отчетный период в сравнении с данными предшествующего года (таблица 4), а при наличии отчетных данных за ряд периодов можно провести трендовый анализ, т. е. рассчитать абсолютные и относительные отклонения по отношению к той или иной базе, а также определить абсолютные и относительные отклонения.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Таблица 4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ДИНАМИКА АБСОЛЮТНЫХ И ОТНОСИТЕЛЬНЫХ</w:t>
      </w:r>
      <w:r w:rsidRPr="00BB19F8">
        <w:rPr>
          <w:rFonts w:ascii="Verdana" w:eastAsia="Times New Roman" w:hAnsi="Verdana"/>
          <w:color w:val="626161"/>
          <w:lang w:eastAsia="ru-RU"/>
        </w:rPr>
        <w:br/>
        <w:t>ПОКАЗАТЕЛЕЙ  ВЕКСЕЛЬНОЙ ЗАДОЛЖЕННОСТИ</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188"/>
        <w:gridCol w:w="1546"/>
        <w:gridCol w:w="1806"/>
        <w:gridCol w:w="1941"/>
        <w:gridCol w:w="1520"/>
      </w:tblGrid>
      <w:tr w:rsidR="00BB19F8" w:rsidRPr="00BB19F8" w:rsidTr="00BB19F8">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На начало кварта</w:t>
            </w:r>
            <w:r w:rsidRPr="00BB19F8">
              <w:rPr>
                <w:rFonts w:ascii="Verdana" w:eastAsia="Times New Roman" w:hAnsi="Verdana"/>
                <w:color w:val="4D4D4D"/>
                <w:lang w:eastAsia="ru-RU"/>
              </w:rPr>
              <w:softHyphen/>
              <w:t>ла. усл. ден. ед.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На конец квартала., усл. ден. ед.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Абсолют</w:t>
            </w:r>
            <w:r w:rsidRPr="00BB19F8">
              <w:rPr>
                <w:rFonts w:ascii="Verdana" w:eastAsia="Times New Roman" w:hAnsi="Verdana"/>
                <w:color w:val="4D4D4D"/>
                <w:lang w:eastAsia="ru-RU"/>
              </w:rPr>
              <w:softHyphen/>
              <w:t>ное откло</w:t>
            </w:r>
            <w:r w:rsidRPr="00BB19F8">
              <w:rPr>
                <w:rFonts w:ascii="Verdana" w:eastAsia="Times New Roman" w:hAnsi="Verdana"/>
                <w:color w:val="4D4D4D"/>
                <w:lang w:eastAsia="ru-RU"/>
              </w:rPr>
              <w:softHyphen/>
              <w:t>нение усл.ден.ед.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Относи</w:t>
            </w:r>
            <w:r w:rsidRPr="00BB19F8">
              <w:rPr>
                <w:rFonts w:ascii="Verdana" w:eastAsia="Times New Roman" w:hAnsi="Verdana"/>
                <w:color w:val="4D4D4D"/>
                <w:lang w:eastAsia="ru-RU"/>
              </w:rPr>
              <w:softHyphen/>
              <w:t>тельное отклоне</w:t>
            </w:r>
            <w:r w:rsidRPr="00BB19F8">
              <w:rPr>
                <w:rFonts w:ascii="Verdana" w:eastAsia="Times New Roman" w:hAnsi="Verdana"/>
                <w:color w:val="4D4D4D"/>
                <w:lang w:eastAsia="ru-RU"/>
              </w:rPr>
              <w:softHyphen/>
              <w:t xml:space="preserve">ние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А. Векселя к получению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30</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из них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простые векселя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+35,7</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переводные векселя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16,7</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Б. Векселя к уплате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9,4</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из них: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простые векселя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33,3</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переводные векселя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-11,8</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В. Удельный вес векселей в валюте баланса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1,5</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из них: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векселя к получению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векселя к уплате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0,5</w:t>
            </w:r>
          </w:p>
        </w:tc>
      </w:tr>
    </w:tbl>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Из данных приведенного примера видно, что произошло общее увеличение суммы векселей полученных на 30 тыс. руб. Однако превышение векселей к получению над векселями к уплате может при прочих равных условиях привести к укреплению финансового состояния организации. Чрезвычайно важно при анализе финансового состояния составить баланс вексельной задолженности (табл. 5).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Таблица 5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БАЛАНС ВЕКСЕЛЬНОЙ ЗАДОЛЖЕННОСТИ (УСЛ. ДЕН. ЕД.) </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736"/>
        <w:gridCol w:w="1515"/>
        <w:gridCol w:w="1830"/>
        <w:gridCol w:w="1607"/>
        <w:gridCol w:w="1313"/>
      </w:tblGrid>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Остаток на начало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Получено (выдано) векселей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Погаше</w:t>
            </w:r>
            <w:r w:rsidRPr="00BB19F8">
              <w:rPr>
                <w:rFonts w:ascii="Verdana" w:eastAsia="Times New Roman" w:hAnsi="Verdana"/>
                <w:color w:val="4D4D4D"/>
                <w:lang w:eastAsia="ru-RU"/>
              </w:rPr>
              <w:softHyphen/>
              <w:t>но в течение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Оста</w:t>
            </w:r>
            <w:r w:rsidRPr="00BB19F8">
              <w:rPr>
                <w:rFonts w:ascii="Verdana" w:eastAsia="Times New Roman" w:hAnsi="Verdana"/>
                <w:color w:val="4D4D4D"/>
                <w:lang w:eastAsia="ru-RU"/>
              </w:rPr>
              <w:softHyphen/>
              <w:t>ток на конец года</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1. Векселя полученные (дебиторы)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15</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2. Векселя выданные (кредиторы)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3. Сальдо вексельной задолженности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+ 15</w:t>
            </w:r>
          </w:p>
        </w:tc>
      </w:tr>
    </w:tbl>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С точки зрения ликвидности активов баланса такая динамика вексельной задолженности может рассматриваться как положительный факт. Однако прирост дебиторской задолженности ведет к замедлению оборачиваемости активов, а это, в свою очередь, должно усилить внимание аналитика к необходимости проведения дальнейшего анализа деловой активности организации.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Использование различных векселей свидетельствует о профессиональном уровне работников экономических служб, об их умении использовать вексель как инструмент денежных расчетов, фактически реализуя функцию денег. Это чрезвычайно важно, когда организация работает в условиях финансовой нестабильности и хронических неплатежей. Вексель, как простой, так и переводной, в процессе обращения может погасить множество различных обязательств до наступления момента платежа по нему.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Оформляя отсрочку платежа и воплощая ее в фор</w:t>
      </w:r>
      <w:r w:rsidRPr="00BB19F8">
        <w:rPr>
          <w:rFonts w:ascii="Verdana" w:eastAsia="Times New Roman" w:hAnsi="Verdana"/>
          <w:color w:val="626161"/>
          <w:lang w:eastAsia="ru-RU"/>
        </w:rPr>
        <w:softHyphen/>
        <w:t xml:space="preserve">му ценной бумаги, вексель выступает инструментом предоставления кредита, принося определенный доход предприятию. Кроме того, на практике реализация этой функции векселей обеспечивает непрерывность и ускорение темпов хозяйственного оборота.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Конечный результат от использования векселей вы</w:t>
      </w:r>
      <w:r w:rsidRPr="00BB19F8">
        <w:rPr>
          <w:rFonts w:ascii="Verdana" w:eastAsia="Times New Roman" w:hAnsi="Verdana"/>
          <w:color w:val="626161"/>
          <w:lang w:eastAsia="ru-RU"/>
        </w:rPr>
        <w:softHyphen/>
        <w:t xml:space="preserve">ражается в общих результатах хозяйственной деятельности: в увеличении объемов сбыта продукции, увеличении прибыли, повышении платежеспособности и устойчивости финансового состояния. Вместе с тем этот результат можно определить сугубо специфическими показателями, в числе которых могут быть: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Показатель доходности векселя (</w:t>
      </w:r>
      <w:r w:rsidR="00AE40EC">
        <w:rPr>
          <w:rFonts w:ascii="Verdana" w:eastAsia="Times New Roman" w:hAnsi="Verdana"/>
          <w:noProof/>
          <w:color w:val="626161"/>
          <w:lang w:eastAsia="ru-RU"/>
        </w:rPr>
        <w:pict>
          <v:shape id="Рисунок 41" o:spid="_x0000_i1065" type="#_x0000_t75" alt="http://www.cfin.ru/press/afa/2001-4/03_078.gif" style="width:6.75pt;height:11.25pt;visibility:visible">
            <v:imagedata r:id="rId42" o:title="03_078"/>
          </v:shape>
        </w:pict>
      </w:r>
      <w:r w:rsidRPr="00BB19F8">
        <w:rPr>
          <w:rFonts w:ascii="Verdana" w:eastAsia="Times New Roman" w:hAnsi="Verdana"/>
          <w:color w:val="626161"/>
          <w:lang w:eastAsia="ru-RU"/>
        </w:rPr>
        <w:t xml:space="preserve"> ), рассчитываемый по формуле: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42" o:spid="_x0000_i1066" type="#_x0000_t75" alt="http://www.cfin.ru/press/afa/2001-4/03_080.gif" style="width:56.25pt;height:15pt;visibility:visible">
            <v:imagedata r:id="rId43" o:title="03_080"/>
          </v:shape>
        </w:pict>
      </w:r>
      <w:r w:rsidR="00BB19F8" w:rsidRPr="00BB19F8">
        <w:rPr>
          <w:rFonts w:ascii="Verdana" w:eastAsia="Times New Roman" w:hAnsi="Verdana"/>
          <w:color w:val="626161"/>
          <w:lang w:eastAsia="ru-RU"/>
        </w:rPr>
        <w:t xml:space="preserve">,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где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43" o:spid="_x0000_i1067" type="#_x0000_t75" alt="http://www.cfin.ru/press/afa/2001-4/03_082.gif" style="width:11.25pt;height:11.25pt;visibility:visible">
            <v:imagedata r:id="rId44" o:title="03_082"/>
          </v:shape>
        </w:pict>
      </w:r>
      <w:r w:rsidR="00BB19F8" w:rsidRPr="00BB19F8">
        <w:rPr>
          <w:rFonts w:ascii="Verdana" w:eastAsia="Times New Roman" w:hAnsi="Verdana"/>
          <w:color w:val="626161"/>
          <w:lang w:eastAsia="ru-RU"/>
        </w:rPr>
        <w:t xml:space="preserve">  – общая балансовая прибыль;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44" o:spid="_x0000_i1068" type="#_x0000_t75" alt="http://www.cfin.ru/press/afa/2001-4/03_084.gif" style="width:11.25pt;height:11.25pt;visibility:visible">
            <v:imagedata r:id="rId45" o:title="03_084"/>
          </v:shape>
        </w:pict>
      </w:r>
      <w:r w:rsidR="00BB19F8" w:rsidRPr="00BB19F8">
        <w:rPr>
          <w:rFonts w:ascii="Verdana" w:eastAsia="Times New Roman" w:hAnsi="Verdana"/>
          <w:color w:val="626161"/>
          <w:lang w:eastAsia="ru-RU"/>
        </w:rPr>
        <w:t xml:space="preserve">  – общая сумма векселей полученных.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Коэффициент оборачиваемости векселя (</w:t>
      </w:r>
      <w:r w:rsidR="00AE40EC">
        <w:rPr>
          <w:rFonts w:ascii="Verdana" w:eastAsia="Times New Roman" w:hAnsi="Verdana"/>
          <w:noProof/>
          <w:color w:val="626161"/>
          <w:lang w:eastAsia="ru-RU"/>
        </w:rPr>
        <w:pict>
          <v:shape id="Рисунок 45" o:spid="_x0000_i1069" type="#_x0000_t75" alt="http://www.cfin.ru/press/afa/2001-4/03_086.gif" style="width:15pt;height:14.25pt;visibility:visible">
            <v:imagedata r:id="rId46" o:title="03_086"/>
          </v:shape>
        </w:pict>
      </w:r>
      <w:r w:rsidRPr="00BB19F8">
        <w:rPr>
          <w:rFonts w:ascii="Verdana" w:eastAsia="Times New Roman" w:hAnsi="Verdana"/>
          <w:color w:val="626161"/>
          <w:lang w:eastAsia="ru-RU"/>
        </w:rPr>
        <w:t xml:space="preserve"> ), рассчитываемый по формуле: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46" o:spid="_x0000_i1070" type="#_x0000_t75" alt="http://www.cfin.ru/press/afa/2001-4/03_088.gif" style="width:57pt;height:15pt;visibility:visible">
            <v:imagedata r:id="rId47" o:title="03_088"/>
          </v:shape>
        </w:pict>
      </w:r>
      <w:r w:rsidR="00BB19F8" w:rsidRPr="00BB19F8">
        <w:rPr>
          <w:rFonts w:ascii="Verdana" w:eastAsia="Times New Roman" w:hAnsi="Verdana"/>
          <w:color w:val="626161"/>
          <w:lang w:eastAsia="ru-RU"/>
        </w:rPr>
        <w:t xml:space="preserve">,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где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47" o:spid="_x0000_i1071" type="#_x0000_t75" alt="http://www.cfin.ru/press/afa/2001-4/03_090.gif" style="width:9pt;height:11.25pt;visibility:visible">
            <v:imagedata r:id="rId48" o:title="03_090"/>
          </v:shape>
        </w:pict>
      </w:r>
      <w:r w:rsidR="00BB19F8" w:rsidRPr="00BB19F8">
        <w:rPr>
          <w:rFonts w:ascii="Verdana" w:eastAsia="Times New Roman" w:hAnsi="Verdana"/>
          <w:color w:val="626161"/>
          <w:lang w:eastAsia="ru-RU"/>
        </w:rPr>
        <w:t xml:space="preserve">  – выручка от реализации продукции (объем реализации);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48" o:spid="_x0000_i1072" type="#_x0000_t75" alt="http://www.cfin.ru/press/afa/2001-4/03_092.gif" style="width:11.25pt;height:11.25pt;visibility:visible">
            <v:imagedata r:id="rId45" o:title="03_092"/>
          </v:shape>
        </w:pict>
      </w:r>
      <w:r w:rsidR="00BB19F8" w:rsidRPr="00BB19F8">
        <w:rPr>
          <w:rFonts w:ascii="Verdana" w:eastAsia="Times New Roman" w:hAnsi="Verdana"/>
          <w:color w:val="626161"/>
          <w:lang w:eastAsia="ru-RU"/>
        </w:rPr>
        <w:t xml:space="preserve">– сумма векселей полученных.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Таблица 6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ПОКАЗАТЕЛИ ЭФФЕКТИВНОСТИ ИСПОЛЬЗОВАНИЯ ВЕКСЕЛЬНОГО ОБРАЩЕНИЯ</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404"/>
        <w:gridCol w:w="1630"/>
        <w:gridCol w:w="1232"/>
        <w:gridCol w:w="2735"/>
      </w:tblGrid>
      <w:tr w:rsidR="00BB19F8" w:rsidRPr="00BB19F8" w:rsidTr="00BB19F8">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Пред</w:t>
            </w:r>
            <w:r w:rsidRPr="00BB19F8">
              <w:rPr>
                <w:rFonts w:ascii="Verdana" w:eastAsia="Times New Roman" w:hAnsi="Verdana"/>
                <w:color w:val="4D4D4D"/>
                <w:lang w:eastAsia="ru-RU"/>
              </w:rPr>
              <w:softHyphen/>
              <w:t>шест</w:t>
            </w:r>
            <w:r w:rsidRPr="00BB19F8">
              <w:rPr>
                <w:rFonts w:ascii="Verdana" w:eastAsia="Times New Roman" w:hAnsi="Verdana"/>
                <w:color w:val="4D4D4D"/>
                <w:lang w:eastAsia="ru-RU"/>
              </w:rPr>
              <w:softHyphen/>
              <w:t>вую</w:t>
            </w:r>
            <w:r w:rsidRPr="00BB19F8">
              <w:rPr>
                <w:rFonts w:ascii="Verdana" w:eastAsia="Times New Roman" w:hAnsi="Verdana"/>
                <w:color w:val="4D4D4D"/>
                <w:lang w:eastAsia="ru-RU"/>
              </w:rPr>
              <w:softHyphen/>
              <w:t>щий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Отчет</w:t>
            </w:r>
            <w:r w:rsidRPr="00BB19F8">
              <w:rPr>
                <w:rFonts w:ascii="Verdana" w:eastAsia="Times New Roman" w:hAnsi="Verdana"/>
                <w:color w:val="4D4D4D"/>
                <w:lang w:eastAsia="ru-RU"/>
              </w:rPr>
              <w:softHyphen/>
              <w:t>ный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Отчетный год в % к предшест</w:t>
            </w:r>
            <w:r w:rsidRPr="00BB19F8">
              <w:rPr>
                <w:rFonts w:ascii="Verdana" w:eastAsia="Times New Roman" w:hAnsi="Verdana"/>
                <w:color w:val="4D4D4D"/>
                <w:lang w:eastAsia="ru-RU"/>
              </w:rPr>
              <w:softHyphen/>
              <w:t>вующему</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1. Векселя к уплате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4 137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5 868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141,8</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2. Выручка от реализации продукции,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12 145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18 946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156,0</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3. Валовая прибыль - всего,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2 230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3 790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170,0</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4. Доходность векселя (3:1)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120,3</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5. Оборачиваемость векселя, дн. (2:1)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110,3</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6. Рентабельность продаж, % , (3:2)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108,7</w:t>
            </w:r>
          </w:p>
        </w:tc>
      </w:tr>
    </w:tbl>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Формулу показателя доходности можно преобразовать, умножив ее числитель и знаменатель на одну и ту же величину – на объем реализации (</w:t>
      </w:r>
      <w:r w:rsidR="00AE40EC">
        <w:rPr>
          <w:rFonts w:ascii="Verdana" w:eastAsia="Times New Roman" w:hAnsi="Verdana"/>
          <w:noProof/>
          <w:color w:val="626161"/>
          <w:lang w:eastAsia="ru-RU"/>
        </w:rPr>
        <w:pict>
          <v:shape id="Рисунок 49" o:spid="_x0000_i1073" type="#_x0000_t75" alt="http://www.cfin.ru/press/afa/2001-4/03_094.gif" style="width:9pt;height:11.25pt;visibility:visible">
            <v:imagedata r:id="rId48" o:title="03_094"/>
          </v:shape>
        </w:pict>
      </w:r>
      <w:r w:rsidRPr="00BB19F8">
        <w:rPr>
          <w:rFonts w:ascii="Verdana" w:eastAsia="Times New Roman" w:hAnsi="Verdana"/>
          <w:color w:val="626161"/>
          <w:lang w:eastAsia="ru-RU"/>
        </w:rPr>
        <w:t xml:space="preserve"> ). </w:t>
      </w:r>
    </w:p>
    <w:p w:rsidR="00BB19F8" w:rsidRPr="00BB19F8" w:rsidRDefault="00AE40EC" w:rsidP="00BB19F8">
      <w:pPr>
        <w:spacing w:before="100" w:beforeAutospacing="1" w:after="100" w:afterAutospacing="1" w:line="240" w:lineRule="auto"/>
        <w:rPr>
          <w:rFonts w:ascii="Verdana" w:eastAsia="Times New Roman" w:hAnsi="Verdana"/>
          <w:color w:val="626161"/>
          <w:lang w:eastAsia="ru-RU"/>
        </w:rPr>
      </w:pPr>
      <w:r>
        <w:rPr>
          <w:rFonts w:ascii="Verdana" w:eastAsia="Times New Roman" w:hAnsi="Verdana"/>
          <w:noProof/>
          <w:color w:val="626161"/>
          <w:lang w:eastAsia="ru-RU"/>
        </w:rPr>
        <w:pict>
          <v:shape id="Рисунок 50" o:spid="_x0000_i1074" type="#_x0000_t75" alt="http://www.cfin.ru/press/afa/2001-4/03_096.gif" style="width:74.25pt;height:25.5pt;visibility:visible">
            <v:imagedata r:id="rId49" o:title="03_096"/>
          </v:shape>
        </w:pic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Полученная таким образом модель позволяет выделить воздействие на доходность векселей двух факторов – изменения рентабельности продаж (</w:t>
      </w:r>
      <w:r w:rsidR="00AE40EC">
        <w:rPr>
          <w:rFonts w:ascii="Verdana" w:eastAsia="Times New Roman" w:hAnsi="Verdana"/>
          <w:noProof/>
          <w:color w:val="626161"/>
          <w:lang w:eastAsia="ru-RU"/>
        </w:rPr>
        <w:pict>
          <v:shape id="Рисунок 51" o:spid="_x0000_i1075" type="#_x0000_t75" alt="http://www.cfin.ru/press/afa/2001-4/03_098.gif" style="width:12.75pt;height:25.5pt;visibility:visible">
            <v:imagedata r:id="rId50" o:title="03_098"/>
          </v:shape>
        </w:pict>
      </w:r>
      <w:r w:rsidRPr="00BB19F8">
        <w:rPr>
          <w:rFonts w:ascii="Verdana" w:eastAsia="Times New Roman" w:hAnsi="Verdana"/>
          <w:color w:val="626161"/>
          <w:lang w:eastAsia="ru-RU"/>
        </w:rPr>
        <w:t xml:space="preserve"> )</w:t>
      </w:r>
      <w:r w:rsidR="00AE40EC">
        <w:rPr>
          <w:rFonts w:ascii="Verdana" w:eastAsia="Times New Roman" w:hAnsi="Verdana"/>
          <w:noProof/>
          <w:color w:val="626161"/>
          <w:lang w:eastAsia="ru-RU"/>
        </w:rPr>
        <w:pict>
          <v:shape id="Рисунок 52" o:spid="_x0000_i1076" type="#_x0000_t75" alt="http://www.cfin.ru/press/afa/2001-4/03_100.gif" style="width:9pt;height:15.75pt;visibility:visible">
            <v:imagedata r:id="rId51" o:title="03_100"/>
          </v:shape>
        </w:pict>
      </w:r>
      <w:r w:rsidRPr="00BB19F8">
        <w:rPr>
          <w:rFonts w:ascii="Verdana" w:eastAsia="Times New Roman" w:hAnsi="Verdana"/>
          <w:color w:val="626161"/>
          <w:lang w:eastAsia="ru-RU"/>
        </w:rPr>
        <w:t xml:space="preserve"> и изменения скорости оборота векселей полученных (</w:t>
      </w:r>
      <w:r w:rsidR="00AE40EC">
        <w:rPr>
          <w:rFonts w:ascii="Verdana" w:eastAsia="Times New Roman" w:hAnsi="Verdana"/>
          <w:noProof/>
          <w:color w:val="626161"/>
          <w:lang w:eastAsia="ru-RU"/>
        </w:rPr>
        <w:pict>
          <v:shape id="Рисунок 53" o:spid="_x0000_i1077" type="#_x0000_t75" alt="http://www.cfin.ru/press/afa/2001-4/03_102.gif" style="width:12.75pt;height:25.5pt;visibility:visible">
            <v:imagedata r:id="rId52" o:title="03_102"/>
          </v:shape>
        </w:pict>
      </w:r>
      <w:r w:rsidRPr="00BB19F8">
        <w:rPr>
          <w:rFonts w:ascii="Verdana" w:eastAsia="Times New Roman" w:hAnsi="Verdana"/>
          <w:color w:val="626161"/>
          <w:lang w:eastAsia="ru-RU"/>
        </w:rPr>
        <w:t xml:space="preserve"> ).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Основным признаком эффективности управления динамикой вексельного обращения является: превышение темпа роста выручки от реализации продукции или прибыли над темпом роста объема вексельного обращения. Оценку и анализ этих показателей целесообразно осуществлять в динамике, для чего можно воспользоваться следующей таблицей (табл.6 ).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Как видно из таблицы, показатели эффективности использования векселей в отчетном периоде по сравнению с предыдущим годом улучшились. Доходность векселей выросла на 20,3 процента, или на 0,11 руб.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Основными факторами роста доходности векселей являются ускорение их оборачиваемости и повышение рентабельности продаж.Определить влияние каждого вышеуказанного фактора можно способом абсолютных разниц.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За счет роста коэффициента оборачиваемости векселей на 0,3 пункта (3,2 - 2,9) доходность векселей увеличилась на 0,055 руб. </w:t>
      </w:r>
      <w:r w:rsidR="00AE40EC">
        <w:rPr>
          <w:rFonts w:ascii="Verdana" w:eastAsia="Times New Roman" w:hAnsi="Verdana"/>
          <w:noProof/>
          <w:color w:val="626161"/>
          <w:lang w:eastAsia="ru-RU"/>
        </w:rPr>
        <w:pict>
          <v:shape id="Рисунок 54" o:spid="_x0000_i1078" type="#_x0000_t75" alt="http://www.cfin.ru/press/afa/2001-4/03_104.gif" style="width:51.75pt;height:25.5pt;visibility:visible">
            <v:imagedata r:id="rId53" o:title="03_104"/>
          </v:shape>
        </w:pict>
      </w:r>
      <w:r w:rsidRPr="00BB19F8">
        <w:rPr>
          <w:rFonts w:ascii="Verdana" w:eastAsia="Times New Roman" w:hAnsi="Verdana"/>
          <w:color w:val="626161"/>
          <w:lang w:eastAsia="ru-RU"/>
        </w:rPr>
        <w:t xml:space="preserve">.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За счет роста рентабельности продаж с 18,4 % до 20,0 % или на 1,6 пункта доходность векселей возросла на 0,051 руб. (</w:t>
      </w:r>
      <w:r w:rsidR="00AE40EC">
        <w:rPr>
          <w:rFonts w:ascii="Verdana" w:eastAsia="Times New Roman" w:hAnsi="Verdana"/>
          <w:noProof/>
          <w:color w:val="626161"/>
          <w:lang w:eastAsia="ru-RU"/>
        </w:rPr>
        <w:pict>
          <v:shape id="Рисунок 55" o:spid="_x0000_i1079" type="#_x0000_t75" alt="http://www.cfin.ru/press/afa/2001-4/03_106.gif" style="width:38.25pt;height:25.5pt;visibility:visible">
            <v:imagedata r:id="rId54" o:title="03_106"/>
          </v:shape>
        </w:pict>
      </w:r>
      <w:r w:rsidRPr="00BB19F8">
        <w:rPr>
          <w:rFonts w:ascii="Verdana" w:eastAsia="Times New Roman" w:hAnsi="Verdana"/>
          <w:color w:val="626161"/>
          <w:lang w:eastAsia="ru-RU"/>
        </w:rPr>
        <w:t xml:space="preserve"> ).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Совокупное влияние двух факторов составляет :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0,055 + 0,051 = 0,106 » 0,11 руб.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Векселя неоднородны по своему составу, по характеру использования, по степени влияния на финансовое состояние и результаты хозяйственной деятельности. Поэтому при анализе эффективности использования векселей необходим дифференци</w:t>
      </w:r>
      <w:r w:rsidRPr="00BB19F8">
        <w:rPr>
          <w:rFonts w:ascii="Verdana" w:eastAsia="Times New Roman" w:hAnsi="Verdana"/>
          <w:color w:val="626161"/>
          <w:lang w:eastAsia="ru-RU"/>
        </w:rPr>
        <w:softHyphen/>
        <w:t xml:space="preserve">рованный подход к их оценке. Для этого осуществляется классификация и группировка векселей по различным признакам.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Наиболее приемлемы анализ и оценка структуры векселей по источникам поступления (приобретения), по видам, по срокам использования, по степени правовой обеспеченности, по степени престижности, по степени ликвидности и риска вложений в них, по направлениям выбытия и т. д.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Например, для анализа структуры векселей (их форм собственности и престижности) можно составить следующую таблицу (таб. 7).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Из вышеприведенных данных видно, что задолженность по векселям в целом по организации увеличилась в отчетном году по сравнению с предыдущим на 50 тыс. руб. или на 25 %. Причем структурные сдвиги произошли в сторону увеличения задолженности акционерных обществ на 60 тыс. руб. или на 15 % или снижения задолженности государственных и муниципальных предприятий. По данным этой таблицы можно судить и о престижности участия данной организации в вексельном обращении. Это, на наш взгляд, определяется экспертным путем на четырех уровнях: общероссийском, отраслевом, региональном и на уровне отдельного предприятия.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Таблица 7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АНАЛИЗ СТРУКТУРЫ ВЕКСЕЛЕЙ ПОЛУЧЕННЫХ ОТ ПРЕДПРИЯТИЙ И ОРГАНИЗАЦИЙ  РАЗЛИЧНЫХ ФОРМ СОБСТВЕННОСТИ</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777"/>
        <w:gridCol w:w="848"/>
        <w:gridCol w:w="1097"/>
        <w:gridCol w:w="807"/>
        <w:gridCol w:w="985"/>
        <w:gridCol w:w="887"/>
        <w:gridCol w:w="600"/>
      </w:tblGrid>
      <w:tr w:rsidR="00BB19F8" w:rsidRPr="00BB19F8" w:rsidTr="00BB19F8">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Показатели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Предшеству</w:t>
            </w:r>
            <w:r w:rsidRPr="00BB19F8">
              <w:rPr>
                <w:rFonts w:ascii="Verdana" w:eastAsia="Times New Roman" w:hAnsi="Verdana"/>
                <w:color w:val="626161"/>
                <w:lang w:eastAsia="ru-RU"/>
              </w:rPr>
              <w:softHyphen/>
              <w:t>ющий год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Отчетный год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Отклонения</w:t>
            </w:r>
          </w:p>
        </w:tc>
      </w:tr>
      <w:tr w:rsidR="00BB19F8" w:rsidRPr="00BB19F8" w:rsidTr="00BB19F8">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BB19F8" w:rsidRPr="00BB19F8" w:rsidRDefault="00BB19F8" w:rsidP="00BB19F8">
            <w:pPr>
              <w:spacing w:after="0" w:line="240" w:lineRule="auto"/>
              <w:rPr>
                <w:rFonts w:ascii="Verdana" w:eastAsia="Times New Roman" w:hAnsi="Verdana"/>
                <w:color w:val="62616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сумма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в % к итогу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сумма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в % к итогу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сум</w:t>
            </w:r>
            <w:r w:rsidRPr="00BB19F8">
              <w:rPr>
                <w:rFonts w:ascii="Verdana" w:eastAsia="Times New Roman" w:hAnsi="Verdana"/>
                <w:color w:val="4D4D4D"/>
                <w:lang w:eastAsia="ru-RU"/>
              </w:rPr>
              <w:softHyphen/>
              <w:t>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в %</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Векселя полученные, всего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из них от: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а) государствен- ных и муници-пальных унитар-ных предприятий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-14</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б) акционерных обществ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15</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в) прочих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w:t>
            </w:r>
          </w:p>
        </w:tc>
      </w:tr>
    </w:tbl>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При анализе поступления векселей в зависимости от источников поступления могут быть выделены следующие группы объектов: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Всего поступило векселей – тыс. руб., в том числе: </w:t>
      </w:r>
    </w:p>
    <w:p w:rsidR="00BB19F8" w:rsidRPr="00BB19F8" w:rsidRDefault="00BB19F8" w:rsidP="00BB19F8">
      <w:pPr>
        <w:spacing w:before="100" w:beforeAutospacing="1" w:after="100" w:afterAutospacing="1" w:line="240" w:lineRule="auto"/>
        <w:ind w:left="720"/>
        <w:rPr>
          <w:rFonts w:ascii="Verdana" w:eastAsia="Times New Roman" w:hAnsi="Verdana"/>
          <w:color w:val="626161"/>
          <w:lang w:eastAsia="ru-RU"/>
        </w:rPr>
      </w:pPr>
      <w:r w:rsidRPr="00BB19F8">
        <w:rPr>
          <w:rFonts w:ascii="Verdana" w:eastAsia="Times New Roman" w:hAnsi="Verdana"/>
          <w:b/>
          <w:bCs/>
          <w:color w:val="626161"/>
          <w:lang w:eastAsia="ru-RU"/>
        </w:rPr>
        <w:t>а)</w:t>
      </w:r>
      <w:r w:rsidRPr="00BB19F8">
        <w:rPr>
          <w:rFonts w:ascii="Verdana" w:eastAsia="Times New Roman" w:hAnsi="Verdana"/>
          <w:color w:val="626161"/>
          <w:lang w:eastAsia="ru-RU"/>
        </w:rPr>
        <w:t xml:space="preserve"> внесенные учредителями; </w:t>
      </w:r>
    </w:p>
    <w:p w:rsidR="00BB19F8" w:rsidRPr="00BB19F8" w:rsidRDefault="00BB19F8" w:rsidP="00BB19F8">
      <w:pPr>
        <w:spacing w:before="100" w:beforeAutospacing="1" w:after="100" w:afterAutospacing="1" w:line="240" w:lineRule="auto"/>
        <w:ind w:left="720"/>
        <w:rPr>
          <w:rFonts w:ascii="Verdana" w:eastAsia="Times New Roman" w:hAnsi="Verdana"/>
          <w:color w:val="626161"/>
          <w:lang w:eastAsia="ru-RU"/>
        </w:rPr>
      </w:pPr>
      <w:r w:rsidRPr="00BB19F8">
        <w:rPr>
          <w:rFonts w:ascii="Verdana" w:eastAsia="Times New Roman" w:hAnsi="Verdana"/>
          <w:b/>
          <w:bCs/>
          <w:color w:val="626161"/>
          <w:lang w:eastAsia="ru-RU"/>
        </w:rPr>
        <w:t>б)</w:t>
      </w:r>
      <w:r w:rsidRPr="00BB19F8">
        <w:rPr>
          <w:rFonts w:ascii="Verdana" w:eastAsia="Times New Roman" w:hAnsi="Verdana"/>
          <w:color w:val="626161"/>
          <w:lang w:eastAsia="ru-RU"/>
        </w:rPr>
        <w:t xml:space="preserve">  покупные за плату или обмен на другое имущество; </w:t>
      </w:r>
    </w:p>
    <w:p w:rsidR="00BB19F8" w:rsidRPr="00BB19F8" w:rsidRDefault="00BB19F8" w:rsidP="00BB19F8">
      <w:pPr>
        <w:spacing w:before="100" w:beforeAutospacing="1" w:after="100" w:afterAutospacing="1" w:line="240" w:lineRule="auto"/>
        <w:ind w:left="720"/>
        <w:rPr>
          <w:rFonts w:ascii="Verdana" w:eastAsia="Times New Roman" w:hAnsi="Verdana"/>
          <w:color w:val="626161"/>
          <w:lang w:eastAsia="ru-RU"/>
        </w:rPr>
      </w:pPr>
      <w:r w:rsidRPr="00BB19F8">
        <w:rPr>
          <w:rFonts w:ascii="Verdana" w:eastAsia="Times New Roman" w:hAnsi="Verdana"/>
          <w:b/>
          <w:bCs/>
          <w:color w:val="626161"/>
          <w:lang w:eastAsia="ru-RU"/>
        </w:rPr>
        <w:t>в) </w:t>
      </w:r>
      <w:r w:rsidRPr="00BB19F8">
        <w:rPr>
          <w:rFonts w:ascii="Verdana" w:eastAsia="Times New Roman" w:hAnsi="Verdana"/>
          <w:color w:val="626161"/>
          <w:lang w:eastAsia="ru-RU"/>
        </w:rPr>
        <w:t xml:space="preserve"> полученные безвозмездно от юридических и физических лиц; </w:t>
      </w:r>
    </w:p>
    <w:p w:rsidR="00BB19F8" w:rsidRPr="00BB19F8" w:rsidRDefault="00BB19F8" w:rsidP="00BB19F8">
      <w:pPr>
        <w:spacing w:before="100" w:beforeAutospacing="1" w:after="100" w:afterAutospacing="1" w:line="240" w:lineRule="auto"/>
        <w:ind w:left="720"/>
        <w:rPr>
          <w:rFonts w:ascii="Verdana" w:eastAsia="Times New Roman" w:hAnsi="Verdana"/>
          <w:color w:val="626161"/>
          <w:lang w:eastAsia="ru-RU"/>
        </w:rPr>
      </w:pPr>
      <w:r w:rsidRPr="00BB19F8">
        <w:rPr>
          <w:rFonts w:ascii="Verdana" w:eastAsia="Times New Roman" w:hAnsi="Verdana"/>
          <w:b/>
          <w:bCs/>
          <w:color w:val="626161"/>
          <w:lang w:eastAsia="ru-RU"/>
        </w:rPr>
        <w:t>г)</w:t>
      </w:r>
      <w:r w:rsidRPr="00BB19F8">
        <w:rPr>
          <w:rFonts w:ascii="Verdana" w:eastAsia="Times New Roman" w:hAnsi="Verdana"/>
          <w:color w:val="626161"/>
          <w:lang w:eastAsia="ru-RU"/>
        </w:rPr>
        <w:t xml:space="preserve">  субсидии государственных органов.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i/>
          <w:iCs/>
          <w:color w:val="626161"/>
          <w:lang w:eastAsia="ru-RU"/>
        </w:rPr>
        <w:t>Для анализа вексельной задолженности по срокам составляется следующая таблица.</w:t>
      </w:r>
      <w:r w:rsidRPr="00BB19F8">
        <w:rPr>
          <w:rFonts w:ascii="Verdana" w:eastAsia="Times New Roman" w:hAnsi="Verdana"/>
          <w:color w:val="626161"/>
          <w:lang w:eastAsia="ru-RU"/>
        </w:rPr>
        <w:t xml:space="preserve">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Таблица 8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АНАЛИЗ ВЕКСЕЛЬНОЙ ЗАДОЛЖЕННОСТИ</w:t>
      </w:r>
      <w:r w:rsidRPr="00BB19F8">
        <w:rPr>
          <w:rFonts w:ascii="Verdana" w:eastAsia="Times New Roman" w:hAnsi="Verdana"/>
          <w:color w:val="626161"/>
          <w:lang w:eastAsia="ru-RU"/>
        </w:rPr>
        <w:br/>
        <w:t>ПО СРОКАМ ПОГАШЕНИЯ</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81"/>
        <w:gridCol w:w="1014"/>
        <w:gridCol w:w="817"/>
        <w:gridCol w:w="1014"/>
        <w:gridCol w:w="737"/>
        <w:gridCol w:w="1014"/>
        <w:gridCol w:w="893"/>
        <w:gridCol w:w="1014"/>
        <w:gridCol w:w="817"/>
      </w:tblGrid>
      <w:tr w:rsidR="00BB19F8" w:rsidRPr="00BB19F8" w:rsidTr="00BB19F8">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Показатели</w:t>
            </w:r>
          </w:p>
        </w:tc>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Срок использования</w:t>
            </w:r>
          </w:p>
        </w:tc>
      </w:tr>
      <w:tr w:rsidR="00BB19F8" w:rsidRPr="00BB19F8" w:rsidTr="00BB19F8">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BB19F8" w:rsidRPr="00BB19F8" w:rsidRDefault="00BB19F8" w:rsidP="00BB19F8">
            <w:pPr>
              <w:spacing w:after="0" w:line="240" w:lineRule="auto"/>
              <w:rPr>
                <w:rFonts w:ascii="Verdana" w:eastAsia="Times New Roman" w:hAnsi="Verdana"/>
                <w:color w:val="626161"/>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3 мес.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6 мес.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9 мес.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1 год</w:t>
            </w:r>
          </w:p>
        </w:tc>
      </w:tr>
      <w:tr w:rsidR="00BB19F8" w:rsidRPr="00BB19F8" w:rsidTr="00BB19F8">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BB19F8" w:rsidRPr="00BB19F8" w:rsidRDefault="00BB19F8" w:rsidP="00BB19F8">
            <w:pPr>
              <w:spacing w:after="0" w:line="240" w:lineRule="auto"/>
              <w:rPr>
                <w:rFonts w:ascii="Verdana" w:eastAsia="Times New Roman" w:hAnsi="Verdana"/>
                <w:color w:val="62616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предш.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отчет.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предш.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отчет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предш.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отчет.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предш.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отчет.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год</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Векселя полученные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410</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Векселя к оплате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280</w:t>
            </w:r>
          </w:p>
        </w:tc>
      </w:tr>
    </w:tbl>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Сравнивая сроки погашения вексельной задолженности в двух смежных периодах, аналитик получает информацию о средних сроках вексельного обращения и о возможностях маневрирования собственными ресурсами.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В любом случае изменение сроков функционирования векселя приводит к изменению структуры баланса, показателей текущей ликвидности, оборачиваемости капитала, финансового положения предприятия. Расширение вексельного обращения через механизм безналичных расчетов способствует экономии наличных денег, а это в известной мере расширяет рамки воспроизводства.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Однако и вексельное обращение наталкивается на границы, обусловленные самим характером коммерческих векселей как частных долговых обязательств. Векселя могут обращаться лишь в ограниченном кругу предприятий, осведомленных о взаимной платежеспособности. В противном случае финансово-эксплуатационные потребности покрываются за счет заемных и дополнительно привлеченных источников, что создает финансовое напряжение и вызывает трудности в финансировании текущей уставной деятельности предприятий.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Анализируя структуру задолженности по векселям к получению по срокам их погашения, важно учесть то обстоятельство, что часть векселей может быть реализована до наступления срока платежа по ним. Это несколько снижает значимость такого анализа, но зато позволяет определить сумму, которая может быть получена при досрочной реализации векселей, и посмотреть, как это отразилось на финансовом результате.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Анализируя структуру задолженности по векселям к уплате, целесообразно разделить ее на текущую и долгосрочную. Это важно при разработке мероприятий по укреплению финансового положения предприятия. Однако при анализе следует учесть, что существуют векселя, у которых срок погашения определить сложно. Речь идет о векселях «по предъявлении» и «во столько-то времени от предъявления». Такие векселя можно отнести к текущим обязательствам.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Говоря о степени эффективности использования векселей, чрезвычайно важно проанализировать и в абсолютной сумме, и по удельному весу наличие векселей с просроченными сроками погашения, и какая часть из них своевременно опротестована. Для этого целесообразно составлять таблицу следующей формы (табл. 9).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Таблица 9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ДИНАМИКА ПРОСРОЧЕННОЙ ВЕКСЕЛЬНОЙ</w:t>
      </w:r>
      <w:r w:rsidRPr="00BB19F8">
        <w:rPr>
          <w:rFonts w:ascii="Verdana" w:eastAsia="Times New Roman" w:hAnsi="Verdana"/>
          <w:color w:val="626161"/>
          <w:lang w:eastAsia="ru-RU"/>
        </w:rPr>
        <w:br/>
        <w:t xml:space="preserve">ЗАДОЛЖЕННОСТИ </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675"/>
        <w:gridCol w:w="960"/>
        <w:gridCol w:w="820"/>
        <w:gridCol w:w="891"/>
        <w:gridCol w:w="820"/>
        <w:gridCol w:w="971"/>
        <w:gridCol w:w="864"/>
      </w:tblGrid>
      <w:tr w:rsidR="00BB19F8" w:rsidRPr="00BB19F8" w:rsidTr="00BB19F8">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Показатели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Прошлый год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Отчет. год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Отклонения</w:t>
            </w:r>
          </w:p>
        </w:tc>
      </w:tr>
      <w:tr w:rsidR="00BB19F8" w:rsidRPr="00BB19F8" w:rsidTr="00BB19F8">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BB19F8" w:rsidRPr="00BB19F8" w:rsidRDefault="00BB19F8" w:rsidP="00BB19F8">
            <w:pPr>
              <w:spacing w:after="0" w:line="240" w:lineRule="auto"/>
              <w:rPr>
                <w:rFonts w:ascii="Verdana" w:eastAsia="Times New Roman" w:hAnsi="Verdana"/>
                <w:color w:val="62616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усл.. ден.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уд. вес,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усл. ден.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уд. вес,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усл. ден.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уд. вес,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Векселя полученные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  </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всего</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160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w:t>
            </w:r>
          </w:p>
        </w:tc>
      </w:tr>
      <w:tr w:rsidR="00BB19F8" w:rsidRPr="00BB19F8" w:rsidTr="00BB19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after="0" w:line="240" w:lineRule="auto"/>
              <w:rPr>
                <w:rFonts w:ascii="Verdana" w:eastAsia="Times New Roman" w:hAnsi="Verdana"/>
                <w:color w:val="4D4D4D"/>
                <w:lang w:eastAsia="ru-RU"/>
              </w:rPr>
            </w:pPr>
            <w:r w:rsidRPr="00BB19F8">
              <w:rPr>
                <w:rFonts w:ascii="Verdana" w:eastAsia="Times New Roman" w:hAnsi="Verdana"/>
                <w:color w:val="4D4D4D"/>
                <w:lang w:eastAsia="ru-RU"/>
              </w:rPr>
              <w:t xml:space="preserve">в т. ч. с просроченными сроками получения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из них: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 своевременно опро-тестовано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несвоевременно опро-тестовано</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80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30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66,7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25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90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50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56,3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55,6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44,4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10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30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-10,4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30,6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30,6</w:t>
            </w:r>
          </w:p>
        </w:tc>
      </w:tr>
    </w:tbl>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Данные таблицы позволяют проанализировать в динамике не только общую сумму векселей полученных, в т. ч. с просроченными сроками погашения, но и изучить, как изменился удельный вес и сумма своевременно опротестованных платежей. Это чрезвычайно важно в связи с тем, что согласно Положению о переводном и простом векселе (ст. 53) по истечении сроков, установленных для совершения протеста, векселедержатель теряет свои права против индоссантов, векселедержателя переводного векселя и против других обязанных перед ним по документу лиц. Вышеуказанное обстоятельство приводит к финансовым потерям и, следовательно, к снижению эффективности использования векселей. Наличие неопротестованных векселей свидетельствует не только о недостаточном уровне претензионной работы на предприятии, но и о снижении экономической эффективности вексельного обращения.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Изучение вексельной формы расчетов показывает, что сфера применения векселей весьма широка. Развитие вексельного обращения позволяет сделать проблему нехватки безналичных и наличных денег менее острой и способствует решению проблемы неплатежей без дополнительных финансовых вложений со стороны собственника.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 xml:space="preserve">В настоящее время вексельное обращение получило новое, после 30-х, годов развитие. Использование векселей в практике экономической работы предприятий в условиях хронических неплатежей и недостатка собственных оборотных средств обуславливает их развитие как инструмента денежных расчетов, фактически реализуя функцию денег. Вексель в процессе обращения может погасить множество различных обязательств до наступления момента платежа по нему. Кроме того, оформляя отсрочку платежа и воплощая ее форму ценной бумаги, вексель выступает также инструментом предоставления кредита. Это чрезвычайно важно для обеспечения непрерывности и ускорения темпов хозяйственного оборота. </w:t>
      </w:r>
    </w:p>
    <w:p w:rsidR="00BB19F8" w:rsidRPr="00BB19F8" w:rsidRDefault="00BB19F8" w:rsidP="00BB19F8">
      <w:pPr>
        <w:spacing w:before="100" w:beforeAutospacing="1" w:after="100" w:afterAutospacing="1" w:line="240" w:lineRule="auto"/>
        <w:rPr>
          <w:rFonts w:ascii="Verdana" w:eastAsia="Times New Roman" w:hAnsi="Verdana"/>
          <w:color w:val="626161"/>
          <w:lang w:eastAsia="ru-RU"/>
        </w:rPr>
      </w:pPr>
      <w:r w:rsidRPr="00BB19F8">
        <w:rPr>
          <w:rFonts w:ascii="Verdana" w:eastAsia="Times New Roman" w:hAnsi="Verdana"/>
          <w:color w:val="626161"/>
          <w:lang w:eastAsia="ru-RU"/>
        </w:rPr>
        <w:t>В условиях финансовой нестабильности анализ эффективности расчетов с использованием векселей будет способствовать дальнейшему росту платежеспособности, укреплению финансового состояния и повышению результативности управления предпри</w:t>
      </w:r>
      <w:r w:rsidRPr="00BB19F8">
        <w:rPr>
          <w:rFonts w:ascii="Verdana" w:eastAsia="Times New Roman" w:hAnsi="Verdana"/>
          <w:color w:val="626161"/>
          <w:lang w:eastAsia="ru-RU"/>
        </w:rPr>
        <w:softHyphen/>
        <w:t xml:space="preserve">ятием. </w:t>
      </w:r>
    </w:p>
    <w:p w:rsidR="003E21C8" w:rsidRDefault="003E21C8">
      <w:bookmarkStart w:id="0" w:name="_GoBack"/>
      <w:bookmarkEnd w:id="0"/>
    </w:p>
    <w:sectPr w:rsidR="003E21C8" w:rsidSect="003E2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84EA3"/>
    <w:multiLevelType w:val="multilevel"/>
    <w:tmpl w:val="3064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E55D5"/>
    <w:multiLevelType w:val="multilevel"/>
    <w:tmpl w:val="0680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B568DB"/>
    <w:multiLevelType w:val="multilevel"/>
    <w:tmpl w:val="EB32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F861F7"/>
    <w:multiLevelType w:val="multilevel"/>
    <w:tmpl w:val="25CA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026D9D"/>
    <w:multiLevelType w:val="multilevel"/>
    <w:tmpl w:val="D902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B06620"/>
    <w:multiLevelType w:val="multilevel"/>
    <w:tmpl w:val="DB48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401387"/>
    <w:multiLevelType w:val="multilevel"/>
    <w:tmpl w:val="9C52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9F8"/>
    <w:rsid w:val="001959B1"/>
    <w:rsid w:val="003E21C8"/>
    <w:rsid w:val="00830F7E"/>
    <w:rsid w:val="00AE40EC"/>
    <w:rsid w:val="00BB1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5:chartTrackingRefBased/>
  <w15:docId w15:val="{09BEF8B4-1220-4AEA-A292-ECEE1CC6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C8"/>
    <w:pPr>
      <w:spacing w:after="200" w:line="276" w:lineRule="auto"/>
    </w:pPr>
    <w:rPr>
      <w:sz w:val="22"/>
      <w:szCs w:val="22"/>
      <w:lang w:eastAsia="en-US"/>
    </w:rPr>
  </w:style>
  <w:style w:type="paragraph" w:styleId="1">
    <w:name w:val="heading 1"/>
    <w:basedOn w:val="a"/>
    <w:link w:val="10"/>
    <w:uiPriority w:val="9"/>
    <w:qFormat/>
    <w:rsid w:val="00BB19F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qFormat/>
    <w:rsid w:val="00BB19F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9F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B19F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B19F8"/>
    <w:rPr>
      <w:rFonts w:ascii="Verdana" w:hAnsi="Verdana" w:hint="default"/>
      <w:strike w:val="0"/>
      <w:dstrike w:val="0"/>
      <w:color w:val="2F2F2F"/>
      <w:sz w:val="22"/>
      <w:szCs w:val="22"/>
      <w:u w:val="none"/>
      <w:effect w:val="none"/>
    </w:rPr>
  </w:style>
  <w:style w:type="character" w:styleId="a4">
    <w:name w:val="FollowedHyperlink"/>
    <w:basedOn w:val="a0"/>
    <w:uiPriority w:val="99"/>
    <w:semiHidden/>
    <w:unhideWhenUsed/>
    <w:rsid w:val="00BB19F8"/>
    <w:rPr>
      <w:rFonts w:ascii="Verdana" w:hAnsi="Verdana" w:hint="default"/>
      <w:strike w:val="0"/>
      <w:dstrike w:val="0"/>
      <w:color w:val="2F2F2F"/>
      <w:sz w:val="22"/>
      <w:szCs w:val="22"/>
      <w:u w:val="none"/>
      <w:effect w:val="none"/>
    </w:rPr>
  </w:style>
  <w:style w:type="paragraph" w:styleId="a5">
    <w:name w:val="Normal (Web)"/>
    <w:basedOn w:val="a"/>
    <w:uiPriority w:val="99"/>
    <w:unhideWhenUsed/>
    <w:rsid w:val="00BB19F8"/>
    <w:pPr>
      <w:spacing w:before="100" w:beforeAutospacing="1" w:after="100" w:afterAutospacing="1" w:line="240" w:lineRule="auto"/>
    </w:pPr>
    <w:rPr>
      <w:rFonts w:ascii="Verdana" w:eastAsia="Times New Roman" w:hAnsi="Verdana"/>
      <w:color w:val="626161"/>
      <w:lang w:eastAsia="ru-RU"/>
    </w:rPr>
  </w:style>
  <w:style w:type="character" w:styleId="a6">
    <w:name w:val="Strong"/>
    <w:basedOn w:val="a0"/>
    <w:uiPriority w:val="22"/>
    <w:qFormat/>
    <w:rsid w:val="00BB19F8"/>
    <w:rPr>
      <w:b/>
      <w:bCs/>
    </w:rPr>
  </w:style>
  <w:style w:type="character" w:styleId="a7">
    <w:name w:val="Emphasis"/>
    <w:basedOn w:val="a0"/>
    <w:uiPriority w:val="20"/>
    <w:qFormat/>
    <w:rsid w:val="00BB19F8"/>
    <w:rPr>
      <w:i/>
      <w:iCs/>
    </w:rPr>
  </w:style>
  <w:style w:type="paragraph" w:styleId="a8">
    <w:name w:val="Balloon Text"/>
    <w:basedOn w:val="a"/>
    <w:link w:val="a9"/>
    <w:uiPriority w:val="99"/>
    <w:semiHidden/>
    <w:unhideWhenUsed/>
    <w:rsid w:val="00BB19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168170">
      <w:bodyDiv w:val="1"/>
      <w:marLeft w:val="0"/>
      <w:marRight w:val="0"/>
      <w:marTop w:val="0"/>
      <w:marBottom w:val="0"/>
      <w:divBdr>
        <w:top w:val="none" w:sz="0" w:space="0" w:color="auto"/>
        <w:left w:val="none" w:sz="0" w:space="0" w:color="auto"/>
        <w:bottom w:val="none" w:sz="0" w:space="0" w:color="auto"/>
        <w:right w:val="none" w:sz="0" w:space="0" w:color="auto"/>
      </w:divBdr>
      <w:divsChild>
        <w:div w:id="1522544313">
          <w:marLeft w:val="0"/>
          <w:marRight w:val="0"/>
          <w:marTop w:val="0"/>
          <w:marBottom w:val="0"/>
          <w:divBdr>
            <w:top w:val="none" w:sz="0" w:space="0" w:color="auto"/>
            <w:left w:val="none" w:sz="0" w:space="0" w:color="auto"/>
            <w:bottom w:val="none" w:sz="0" w:space="0" w:color="auto"/>
            <w:right w:val="none" w:sz="0" w:space="0" w:color="auto"/>
          </w:divBdr>
          <w:divsChild>
            <w:div w:id="452331445">
              <w:marLeft w:val="0"/>
              <w:marRight w:val="0"/>
              <w:marTop w:val="0"/>
              <w:marBottom w:val="0"/>
              <w:divBdr>
                <w:top w:val="none" w:sz="0" w:space="0" w:color="auto"/>
                <w:left w:val="none" w:sz="0" w:space="0" w:color="auto"/>
                <w:bottom w:val="none" w:sz="0" w:space="0" w:color="auto"/>
                <w:right w:val="none" w:sz="0" w:space="0" w:color="auto"/>
              </w:divBdr>
            </w:div>
            <w:div w:id="1170565810">
              <w:marLeft w:val="0"/>
              <w:marRight w:val="0"/>
              <w:marTop w:val="0"/>
              <w:marBottom w:val="0"/>
              <w:divBdr>
                <w:top w:val="none" w:sz="0" w:space="0" w:color="auto"/>
                <w:left w:val="none" w:sz="0" w:space="0" w:color="auto"/>
                <w:bottom w:val="none" w:sz="0" w:space="0" w:color="auto"/>
                <w:right w:val="none" w:sz="0" w:space="0" w:color="auto"/>
              </w:divBdr>
            </w:div>
            <w:div w:id="12790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 Type="http://schemas.openxmlformats.org/officeDocument/2006/relationships/hyperlink" Target="http://www.cfin.ru/press/afa/2001-4/index.shtml"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6096</Words>
  <Characters>34749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onpp</Company>
  <LinksUpToDate>false</LinksUpToDate>
  <CharactersWithSpaces>40764</CharactersWithSpaces>
  <SharedDoc>false</SharedDoc>
  <HLinks>
    <vt:vector size="6" baseType="variant">
      <vt:variant>
        <vt:i4>3932197</vt:i4>
      </vt:variant>
      <vt:variant>
        <vt:i4>0</vt:i4>
      </vt:variant>
      <vt:variant>
        <vt:i4>0</vt:i4>
      </vt:variant>
      <vt:variant>
        <vt:i4>5</vt:i4>
      </vt:variant>
      <vt:variant>
        <vt:lpwstr>http://www.cfin.ru/press/afa/2001-4/index.shtml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2014-04-17T20:39:00Z</dcterms:created>
  <dcterms:modified xsi:type="dcterms:W3CDTF">2014-04-17T20:39:00Z</dcterms:modified>
</cp:coreProperties>
</file>