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A4" w:rsidRPr="00F54054" w:rsidRDefault="00EC4FA4" w:rsidP="00EC4FA4">
      <w:pPr>
        <w:spacing w:before="120"/>
        <w:jc w:val="center"/>
        <w:rPr>
          <w:b/>
          <w:sz w:val="32"/>
        </w:rPr>
      </w:pPr>
      <w:r w:rsidRPr="00F54054">
        <w:rPr>
          <w:b/>
          <w:sz w:val="32"/>
        </w:rPr>
        <w:t>Антитромботическая терапия: нужна осторожность</w:t>
      </w:r>
    </w:p>
    <w:p w:rsidR="00EC4FA4" w:rsidRPr="00F54054" w:rsidRDefault="00EC4FA4" w:rsidP="00EC4FA4">
      <w:pPr>
        <w:spacing w:before="120"/>
        <w:jc w:val="center"/>
        <w:rPr>
          <w:sz w:val="28"/>
        </w:rPr>
      </w:pPr>
      <w:r w:rsidRPr="00F54054">
        <w:rPr>
          <w:sz w:val="28"/>
        </w:rPr>
        <w:t>Аркадий ВЁРТКИН, Фёдор ВИЛКОВЫСКИЙ, Антон СКОТНИКОВ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Особенности клинического течения</w:t>
      </w:r>
      <w:r>
        <w:t xml:space="preserve">, </w:t>
      </w:r>
      <w:r w:rsidRPr="003728DF">
        <w:t>лечения и прогноза острого коронарного синдрома без подъема сегмента ST у пациентов с железодефицитной анемией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Как известно</w:t>
      </w:r>
      <w:r>
        <w:t xml:space="preserve">, </w:t>
      </w:r>
      <w:r w:rsidRPr="003728DF">
        <w:t>основой лечения острого коронарного синдрома без подъема сегмента ST на ЭКГ (ОКСБП-ST) является воздействие на внутрисосудистое тромбообразование с помощью антитромботических лекарственных средств (ВНОК</w:t>
      </w:r>
      <w:r>
        <w:t xml:space="preserve">, </w:t>
      </w:r>
      <w:r w:rsidRPr="003728DF">
        <w:t>2007; ACC/AHA</w:t>
      </w:r>
      <w:r>
        <w:t xml:space="preserve">, </w:t>
      </w:r>
      <w:r w:rsidRPr="003728DF">
        <w:t>2007). Поэтому комбинированное применение антиагрегантов и антикоагулянтов стало повседневной практикой при ОКСБП-ST. В ряде случаев у пациентов с ОКСБП-ST и планируемым назначением антикоагулянтов имеется исходный высокий риск геморрагических осложнений. Наиболее значимыми предикторами их развития являются пожилой возраст</w:t>
      </w:r>
      <w:r>
        <w:t xml:space="preserve">, </w:t>
      </w:r>
      <w:r w:rsidRPr="003728DF">
        <w:t>женский пол и почечная недостаточность (ESC</w:t>
      </w:r>
      <w:r>
        <w:t xml:space="preserve">, </w:t>
      </w:r>
      <w:r w:rsidRPr="003728DF">
        <w:t>2007). Кроме того</w:t>
      </w:r>
      <w:r>
        <w:t xml:space="preserve">, </w:t>
      </w:r>
      <w:r w:rsidRPr="003728DF">
        <w:t>к факторам риска развития кровотечения по данным шкалы CRUSADE (www. crusadebleedingscore.org) также относятся исходно низкий уровень гематокрита</w:t>
      </w:r>
      <w:r>
        <w:t xml:space="preserve">, </w:t>
      </w:r>
      <w:r w:rsidRPr="003728DF">
        <w:t>снижение клиренса эндогенного креатинина</w:t>
      </w:r>
      <w:r>
        <w:t xml:space="preserve">, </w:t>
      </w:r>
      <w:r w:rsidRPr="003728DF">
        <w:t>увеличение частоты сердечных сокращений</w:t>
      </w:r>
      <w:r>
        <w:t xml:space="preserve">, </w:t>
      </w:r>
      <w:r w:rsidRPr="003728DF">
        <w:t>наличие признаков застойной сердечной недостаточности</w:t>
      </w:r>
      <w:r>
        <w:t xml:space="preserve">, </w:t>
      </w:r>
      <w:r w:rsidRPr="003728DF">
        <w:t>указания на предшествующие заболевания сосудов</w:t>
      </w:r>
      <w:r>
        <w:t xml:space="preserve">, </w:t>
      </w:r>
      <w:r w:rsidRPr="003728DF">
        <w:t>наличие сахарного диабета</w:t>
      </w:r>
      <w:r>
        <w:t xml:space="preserve">, </w:t>
      </w:r>
      <w:r w:rsidRPr="003728DF">
        <w:t xml:space="preserve">уровень систолического артериального давления ниже </w:t>
      </w:r>
      <w:smartTag w:uri="urn:schemas-microsoft-com:office:smarttags" w:element="metricconverter">
        <w:smartTagPr>
          <w:attr w:name="ProductID" w:val="110 мм"/>
        </w:smartTagPr>
        <w:r w:rsidRPr="003728DF">
          <w:t>110 мм</w:t>
        </w:r>
      </w:smartTag>
      <w:r w:rsidRPr="003728DF">
        <w:t xml:space="preserve"> рт.ст. и выше </w:t>
      </w:r>
      <w:smartTag w:uri="urn:schemas-microsoft-com:office:smarttags" w:element="metricconverter">
        <w:smartTagPr>
          <w:attr w:name="ProductID" w:val="180 мм"/>
        </w:smartTagPr>
        <w:r w:rsidRPr="003728DF">
          <w:t>180 мм</w:t>
        </w:r>
      </w:smartTag>
      <w:r w:rsidRPr="003728DF">
        <w:t xml:space="preserve"> рт.ст. Геморрагические осложнения развиваются вдвое чаще при проведении комбинированной антитромботической терапии по сравнению с изолированным приемом АСК</w:t>
      </w:r>
      <w:r>
        <w:t xml:space="preserve">, </w:t>
      </w:r>
      <w:r w:rsidRPr="003728DF">
        <w:t>а положительный эффект антикоагулянтов достигается ценой увеличения частоты геморрагических осложнений.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Наиболее частой локализацией и источником кровотечений являются эрозии слизистой оболочки верхних отделов пищеварительного тракта. Фатальные желудочно-кишечные кровотечения (ЖКК) из эрозий или язв слизистой оболочки желудка и двенадцатиперстной кишки выявляются у 21% умерших от различных форм ишемической болезни сердца. При этом эрозивно-язвенные гастродуоденальные поражения развиваются у 10% больных с первичным и у 54%</w:t>
      </w:r>
      <w:r>
        <w:t xml:space="preserve"> - </w:t>
      </w:r>
      <w:r w:rsidRPr="003728DF">
        <w:t>с повторным инфарктом миокарда.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Согласно крупным исследованиям (GUSTO</w:t>
      </w:r>
      <w:r>
        <w:t xml:space="preserve">, </w:t>
      </w:r>
      <w:r w:rsidRPr="003728DF">
        <w:t>1997; ASSENT-3</w:t>
      </w:r>
      <w:r>
        <w:t xml:space="preserve">, </w:t>
      </w:r>
      <w:r w:rsidRPr="003728DF">
        <w:t>2004; CAPRIE</w:t>
      </w:r>
      <w:r>
        <w:t xml:space="preserve">, </w:t>
      </w:r>
      <w:r w:rsidRPr="003728DF">
        <w:t>1996; OASIS-5</w:t>
      </w:r>
      <w:r>
        <w:t xml:space="preserve">, </w:t>
      </w:r>
      <w:r w:rsidRPr="003728DF">
        <w:t>2005)</w:t>
      </w:r>
      <w:r>
        <w:t xml:space="preserve">, </w:t>
      </w:r>
      <w:r w:rsidRPr="003728DF">
        <w:t>у пациентов с ОКСБП-ST кровотечение приводит к 5-кратному возрастанию летальности в течение первых 30 дней и к 1</w:t>
      </w:r>
      <w:r>
        <w:t xml:space="preserve">, </w:t>
      </w:r>
      <w:r w:rsidRPr="003728DF">
        <w:t>5-кратному</w:t>
      </w:r>
      <w:r>
        <w:t xml:space="preserve"> - </w:t>
      </w:r>
      <w:r w:rsidRPr="003728DF">
        <w:t>в период от 30 дней до 6 месяцев после состоявшегося кровотечения. Вопрос назначения антикоагулянтов пациентам с ОКСБП-ST</w:t>
      </w:r>
      <w:r>
        <w:t xml:space="preserve">, </w:t>
      </w:r>
      <w:r w:rsidRPr="003728DF">
        <w:t>анемией и высоким риском кровотечения</w:t>
      </w:r>
      <w:r>
        <w:t xml:space="preserve">, </w:t>
      </w:r>
      <w:r w:rsidRPr="003728DF">
        <w:t>а также выбор групп и доз данного класса лекарственных препаратов до сих пор остается дискутабельным и широко обсуждаемым в отечественной и зарубежной медицинской литературе. Неадекватную дозу антикоагулянтов получают около половины данных пациентов</w:t>
      </w:r>
      <w:r>
        <w:t xml:space="preserve">, </w:t>
      </w:r>
      <w:r w:rsidRPr="003728DF">
        <w:t>при этом ввиду высокого риска кровотечения терапия антикоагулянтами зачастую вообще не проводится.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Введение высокой дозы гепарина пациентам с ОКСБП-ST и анемией приводит к увеличению частоты крупных кровотечений и считается неоправданным. Однако в отдельных случаях длительное использование более низкой дозы низкомолекулярного гепарина (НМГ) может оказаться полезным. Так</w:t>
      </w:r>
      <w:r>
        <w:t xml:space="preserve">, </w:t>
      </w:r>
      <w:r w:rsidRPr="003728DF">
        <w:t>есть свидетельство</w:t>
      </w:r>
      <w:r>
        <w:t xml:space="preserve">, </w:t>
      </w:r>
      <w:r w:rsidRPr="003728DF">
        <w:t>что у больных высокого риска продление подкожных инъекций далтепарина натрия способно по меньшей мере предотвратить реактивацию заболевания в ближайшие 1-1</w:t>
      </w:r>
      <w:r>
        <w:t xml:space="preserve">, </w:t>
      </w:r>
      <w:r w:rsidRPr="003728DF">
        <w:t>5 месяца.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Вместе с тем следует учитывать</w:t>
      </w:r>
      <w:r>
        <w:t xml:space="preserve">, </w:t>
      </w:r>
      <w:r w:rsidRPr="003728DF">
        <w:t>что указанные факты были получены до начала широкого использования сочетания аспирина с клопидогрелом. Сохранится ли преимущество длительного введения НМГ в этих новых условиях</w:t>
      </w:r>
      <w:r>
        <w:t xml:space="preserve">, </w:t>
      </w:r>
      <w:r w:rsidRPr="003728DF">
        <w:t>неизвестно. Таким образом</w:t>
      </w:r>
      <w:r>
        <w:t xml:space="preserve">, </w:t>
      </w:r>
      <w:r w:rsidRPr="003728DF">
        <w:t>на сегодняшний день в неотложной терапии пациентов с ОКСБП-ST и анемией имеется ряд нерешенных вопросов</w:t>
      </w:r>
      <w:r>
        <w:t xml:space="preserve">, </w:t>
      </w:r>
      <w:r w:rsidRPr="003728DF">
        <w:t>связанных с высоким риском развития тромботических и геморрагических осложнений у одного и того же больного. Не решен вопрос назначения таким пациентам антитромботической терапии в целом и НМГ в частности</w:t>
      </w:r>
      <w:r>
        <w:t xml:space="preserve">, </w:t>
      </w:r>
      <w:r w:rsidRPr="003728DF">
        <w:t>а при их применении подбор одновременно эффективной и безопасной дозировки антикоагулянта представляет определенную трудность. В связи с этим актуальны вопросы внедрения новых методов оценки прогноза ОКСБП-ST</w:t>
      </w:r>
      <w:r>
        <w:t xml:space="preserve">, </w:t>
      </w:r>
      <w:r w:rsidRPr="003728DF">
        <w:t>поиска предикторов геморрагических и тромботических осложнений и оптимизации фармакотерапии данной категории больных.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Целью нашего исследования было разработать тактику ведения пациентов с ОКСБП-ST</w:t>
      </w:r>
      <w:r>
        <w:t xml:space="preserve">, </w:t>
      </w:r>
      <w:r w:rsidRPr="003728DF">
        <w:t>высоким риском развития кровотечения и железодефицитной анемией.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Программа исследования состояла из 3 частей. Изучение архивных данных включало анализ историй болезни 2473 больных</w:t>
      </w:r>
      <w:r>
        <w:t xml:space="preserve">, </w:t>
      </w:r>
      <w:r w:rsidRPr="003728DF">
        <w:t>поступивших в отделение кардиореанимации с направительным диагнозом «ОКСБП-ST». Выделялись группы больных со сниженным уровнем гемоглобина</w:t>
      </w:r>
      <w:r>
        <w:t xml:space="preserve">, </w:t>
      </w:r>
      <w:r w:rsidRPr="003728DF">
        <w:t>а также изучался удельный вес железодефицитной анемии в общей структуре анемий.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Авторами детально изучалась фармакотерапия</w:t>
      </w:r>
      <w:r>
        <w:t xml:space="preserve">, </w:t>
      </w:r>
      <w:r w:rsidRPr="003728DF">
        <w:t>проводимая в группе пациентов с железодефицитной анемией и проводилось сравнение</w:t>
      </w:r>
      <w:r>
        <w:t xml:space="preserve"> </w:t>
      </w:r>
      <w:r w:rsidRPr="003728DF">
        <w:t>тяжести</w:t>
      </w:r>
      <w:r>
        <w:t xml:space="preserve"> </w:t>
      </w:r>
      <w:r w:rsidRPr="003728DF">
        <w:t>течения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ОКСБП-ST</w:t>
      </w:r>
      <w:r>
        <w:t xml:space="preserve">, </w:t>
      </w:r>
      <w:r w:rsidRPr="003728DF">
        <w:t>его прогноза и исходов в группах пациентов с железодефицитной анемией и без нее. Исследование лекарственного препарата включало в себя определение эффективности и безопасности адекватной антикоагулянтной терапии далтепарином натрия на фоне коррекции исходной железодефицитной анемии в отношении частоты развития тромботических и геморрагических осложнений</w:t>
      </w:r>
      <w:r>
        <w:t xml:space="preserve">, </w:t>
      </w:r>
      <w:r w:rsidRPr="003728DF">
        <w:t>а также прогноза данной категории больных по сравнению с терапией</w:t>
      </w:r>
      <w:r>
        <w:t xml:space="preserve">, </w:t>
      </w:r>
      <w:r w:rsidRPr="003728DF">
        <w:t>не предусматривающей прием антикоагулянтов. Из 247 человек с ОКСБП-ST</w:t>
      </w:r>
      <w:r>
        <w:t xml:space="preserve">, </w:t>
      </w:r>
      <w:r w:rsidRPr="003728DF">
        <w:t>находившихся на стационарном лечении в отделении кардиореанимации</w:t>
      </w:r>
      <w:r>
        <w:t xml:space="preserve">, </w:t>
      </w:r>
      <w:r w:rsidRPr="003728DF">
        <w:t>97 пациентов полностью соответствовали всем необходимым критериям (железодефицитная анемия</w:t>
      </w:r>
      <w:r>
        <w:t xml:space="preserve">, </w:t>
      </w:r>
      <w:r w:rsidRPr="003728DF">
        <w:t>высокий риск развития кровотечения) и были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включены в дальнейшее исследование. Этим больным было проведено общеклиническое обследование</w:t>
      </w:r>
      <w:r>
        <w:t xml:space="preserve">, </w:t>
      </w:r>
      <w:r w:rsidRPr="003728DF">
        <w:t>включавшее в себя сбор жалоб и анамнеза с уточнением давности ишемической болезни сердца</w:t>
      </w:r>
      <w:r>
        <w:t xml:space="preserve">, </w:t>
      </w:r>
      <w:r w:rsidRPr="003728DF">
        <w:t>особенностей ее фармакотерапии и наличия сопутствующих заболеваний</w:t>
      </w:r>
      <w:r>
        <w:t xml:space="preserve">, </w:t>
      </w:r>
      <w:r w:rsidRPr="003728DF">
        <w:t>а также оценку объективного статуса</w:t>
      </w:r>
      <w:r>
        <w:t xml:space="preserve">, </w:t>
      </w:r>
      <w:r w:rsidRPr="003728DF">
        <w:t>данных лабораторных и инструментальных методов исследования. У вошедших в исследование 97 больных с помощью системы TIMI (Trombolysis in Myocardial Infarction) определялся риск неблагоприятных событий в ближайшее время</w:t>
      </w:r>
      <w:r>
        <w:t xml:space="preserve">, </w:t>
      </w:r>
      <w:r w:rsidRPr="003728DF">
        <w:t>таких как смерть</w:t>
      </w:r>
      <w:r>
        <w:t xml:space="preserve">, </w:t>
      </w:r>
      <w:r w:rsidRPr="003728DF">
        <w:t>инфаркт миокарда</w:t>
      </w:r>
      <w:r>
        <w:t xml:space="preserve">, </w:t>
      </w:r>
      <w:r w:rsidRPr="003728DF">
        <w:t>повторная тяжелая ишемия миокарда</w:t>
      </w:r>
      <w:r>
        <w:t xml:space="preserve">, </w:t>
      </w:r>
      <w:r w:rsidRPr="003728DF">
        <w:t>требующая инвазивного вмешательства.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Суммарное число баллов по системе TIMI более 4 расценивалось как высокий риск неблагоприятных событий</w:t>
      </w:r>
      <w:r>
        <w:t xml:space="preserve">, </w:t>
      </w:r>
      <w:r w:rsidRPr="003728DF">
        <w:t>при котором</w:t>
      </w:r>
      <w:r>
        <w:t xml:space="preserve">, </w:t>
      </w:r>
      <w:r w:rsidRPr="003728DF">
        <w:t>согласно рекомендациям ВНОК и ESC</w:t>
      </w:r>
      <w:r>
        <w:t xml:space="preserve">, </w:t>
      </w:r>
      <w:r w:rsidRPr="003728DF">
        <w:t>всем пациентам показано назначение комплексной фармакотерапии с участием</w:t>
      </w:r>
      <w:r>
        <w:t xml:space="preserve">, </w:t>
      </w:r>
      <w:r w:rsidRPr="003728DF">
        <w:t>в том числе НМГ. После анкетирования по системе TIMI и выявления маркеров повреждения миокарда из 97 удовлетворяющих критериям включения в исследование высокий риск неблагоприятных событий обнаружился у 83 пациентов</w:t>
      </w:r>
      <w:r>
        <w:t xml:space="preserve">, </w:t>
      </w:r>
      <w:r w:rsidRPr="003728DF">
        <w:t>которые затем методом «случай</w:t>
      </w:r>
      <w:r>
        <w:t xml:space="preserve"> - </w:t>
      </w:r>
      <w:r w:rsidRPr="003728DF">
        <w:t>контроль» были разделены на две сопоставимые группы (А и В) и продолжили исследование. Для исключения активного кровотечения на момент начала исследования лекарственного препарата все больные с выявленной анемией и высоким риском развития кровотечения были осмотрены хирургом</w:t>
      </w:r>
      <w:r>
        <w:t xml:space="preserve">, </w:t>
      </w:r>
      <w:r w:rsidRPr="003728DF">
        <w:t>урологом</w:t>
      </w:r>
      <w:r>
        <w:t xml:space="preserve">, </w:t>
      </w:r>
      <w:r w:rsidRPr="003728DF">
        <w:t>гинекологом и лор-врачом.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В дальнейшем консультации больных данными специалистами проводились в динамике и при малейших подозрениях на начавшееся кровотечение той или иной локализации. В случае возникновения первых признаков геморрагических осложнений прием исследуемого препарата должен был незамедлительно прекратиться</w:t>
      </w:r>
      <w:r>
        <w:t xml:space="preserve">, </w:t>
      </w:r>
      <w:r w:rsidRPr="003728DF">
        <w:t>а тяжесть кровотечения планировалось оценить по шкалам TIMI и GUSTO (Global Utilization of Streptokinase and t-PA for Occluded coronary arteries). В соответствии со стандартами медицинской помощи Минздравсоцразвития России (2007) всем пациентам обеих групп на догоспитальном этапе проводилась антитромботическая терапия ацетилсалициловой кислотой.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Пациентам группы А (n=37) с момента рандомизации назначали НМГ</w:t>
      </w:r>
      <w:r>
        <w:t xml:space="preserve"> - </w:t>
      </w:r>
      <w:r w:rsidRPr="003728DF">
        <w:t>далтепарин натрия в дозе 120 МЕ/кг каждые 12 часов подкожно в течение первых 6 суток и более. В связи с высоким риском развития кровотечения в первый раз далтепарин натрия вводился внутривенно болюсно в дозировке</w:t>
      </w:r>
      <w:r>
        <w:t xml:space="preserve">, </w:t>
      </w:r>
      <w:r w:rsidRPr="003728DF">
        <w:t>зарегистрированной к назначению у пациентов с высоким риском развития кровотечения</w:t>
      </w:r>
      <w:r>
        <w:t xml:space="preserve">, </w:t>
      </w:r>
      <w:r w:rsidRPr="003728DF">
        <w:t>а именно</w:t>
      </w:r>
      <w:r>
        <w:t xml:space="preserve"> - </w:t>
      </w:r>
      <w:r w:rsidRPr="003728DF">
        <w:t>5 МЕ/кг</w:t>
      </w:r>
      <w:r>
        <w:t xml:space="preserve">, </w:t>
      </w:r>
      <w:r w:rsidRPr="003728DF">
        <w:t>с последующим внутривенным введением 60 МЕ/кг каждые 12 часов. Таким образом</w:t>
      </w:r>
      <w:r>
        <w:t xml:space="preserve">, </w:t>
      </w:r>
      <w:r w:rsidRPr="003728DF">
        <w:t>каждый пациент</w:t>
      </w:r>
      <w:r>
        <w:t xml:space="preserve">, </w:t>
      </w:r>
      <w:r w:rsidRPr="003728DF">
        <w:t>вошедший в проспективную часть работы</w:t>
      </w:r>
      <w:r>
        <w:t xml:space="preserve">, </w:t>
      </w:r>
      <w:r w:rsidRPr="003728DF">
        <w:t>прошел 5-дневный курс терапии далтепарином натрия</w:t>
      </w:r>
      <w:r>
        <w:t xml:space="preserve">, </w:t>
      </w:r>
      <w:r w:rsidRPr="003728DF">
        <w:t xml:space="preserve">суточная доза которого на одного больного массой </w:t>
      </w:r>
      <w:smartTag w:uri="urn:schemas-microsoft-com:office:smarttags" w:element="metricconverter">
        <w:smartTagPr>
          <w:attr w:name="ProductID" w:val="80 кг"/>
        </w:smartTagPr>
        <w:r w:rsidRPr="003728DF">
          <w:t>80 кг</w:t>
        </w:r>
      </w:smartTag>
      <w:r w:rsidRPr="003728DF">
        <w:t xml:space="preserve"> в среднем составила 9600 МЕ</w:t>
      </w:r>
      <w:r>
        <w:t xml:space="preserve">, </w:t>
      </w:r>
      <w:r w:rsidRPr="003728DF">
        <w:t>что в 2 раза меньше дозы</w:t>
      </w:r>
      <w:r>
        <w:t xml:space="preserve">, </w:t>
      </w:r>
      <w:r w:rsidRPr="003728DF">
        <w:t>одобренной для пациентов с ОКС без подъема сегмента ST на ЭКГ. При первом назначении лекарственного препарата учитывались показатели коагулограммы</w:t>
      </w:r>
      <w:r>
        <w:t xml:space="preserve">, </w:t>
      </w:r>
      <w:r w:rsidRPr="003728DF">
        <w:t>а также проводимая на догоспитальном этапе антитромботическая терапия. В случае болюсного введения антикоагулянта врачом СМП и при отсутствии патологии системы гемостаза</w:t>
      </w:r>
      <w:r>
        <w:t xml:space="preserve">, </w:t>
      </w:r>
      <w:r w:rsidRPr="003728DF">
        <w:t>опасной развитием кровотечения</w:t>
      </w:r>
      <w:r>
        <w:t xml:space="preserve">, </w:t>
      </w:r>
      <w:r w:rsidRPr="003728DF">
        <w:t>фармакотерапия в стационаре начиналась с подкожного введения исследуемого лекарства в вышеуказанной дозе (60 МЕ/кг каждые 12 часов). Пациентам группы В (контроль) (n=46) традиционная терапия с использованием антикоагулянтов не назначалась. После отмены дальтепарина натрия пациентам обеих групп проводилась одинаковая традиционная терапия ОКСБП-ST в условиях отделения кардиореанимации с дальнейшей реабилитацией в кардиологических отделениях стационара.</w:t>
      </w:r>
    </w:p>
    <w:p w:rsidR="00EC4FA4" w:rsidRDefault="00EC4FA4" w:rsidP="00EC4FA4">
      <w:pPr>
        <w:spacing w:before="120"/>
        <w:ind w:firstLine="567"/>
        <w:jc w:val="both"/>
      </w:pPr>
      <w:r w:rsidRPr="003728DF">
        <w:t>У 1595 пациентов (64</w:t>
      </w:r>
      <w:r>
        <w:t xml:space="preserve">, </w:t>
      </w:r>
      <w:r w:rsidRPr="003728DF">
        <w:t>5% от общего количества больных с ОКСБП-ST) в лабораторных показателях крови было обнаружено снижение уровня гемоглобина (Hb) и количества эритроцитов различной степени тяжести. При этом у 1482 больных (92</w:t>
      </w:r>
      <w:r>
        <w:t xml:space="preserve">, </w:t>
      </w:r>
      <w:r w:rsidRPr="003728DF">
        <w:t>9%) цветовой показатель был меньше единицы</w:t>
      </w:r>
      <w:r>
        <w:t xml:space="preserve">, </w:t>
      </w:r>
      <w:r w:rsidRPr="003728DF">
        <w:t>что свидетельствовало о гипохромном характере анемии</w:t>
      </w:r>
      <w:r>
        <w:t xml:space="preserve">, </w:t>
      </w:r>
      <w:r w:rsidRPr="003728DF">
        <w:t>у 98 пациентов (6</w:t>
      </w:r>
      <w:r>
        <w:t xml:space="preserve">, </w:t>
      </w:r>
      <w:r w:rsidRPr="003728DF">
        <w:t>2%) анемия носила гиперхромный характер</w:t>
      </w:r>
      <w:r>
        <w:t xml:space="preserve">, </w:t>
      </w:r>
      <w:r w:rsidRPr="003728DF">
        <w:t>а у 15 больных (0</w:t>
      </w:r>
      <w:r>
        <w:t xml:space="preserve">, </w:t>
      </w:r>
      <w:r w:rsidRPr="003728DF">
        <w:t>9%) была нормохромной. У пациентов с гипохромной анемией различалась степень</w:t>
      </w:r>
      <w:r>
        <w:t xml:space="preserve"> </w:t>
      </w:r>
      <w:r w:rsidRPr="003728DF">
        <w:t>ее тяжести. Из 1482 больных ОКСБП-ST со сниженным уровнем гемоглобина (Hb) и эритроцитов анемия легкой степени (90 г/л &lt; Hb &lt; 120 г/л) была выявлена у 758 человек (51</w:t>
      </w:r>
      <w:r>
        <w:t xml:space="preserve">, </w:t>
      </w:r>
      <w:r w:rsidRPr="003728DF">
        <w:t>1%)</w:t>
      </w:r>
      <w:r>
        <w:t xml:space="preserve">, </w:t>
      </w:r>
      <w:r w:rsidRPr="003728DF">
        <w:t>средней степени тяжести (70 г/л &lt; Hb &lt; 90 г/л)</w:t>
      </w:r>
      <w:r>
        <w:t xml:space="preserve"> - </w:t>
      </w:r>
      <w:r w:rsidRPr="003728DF">
        <w:t>у 537 больных (36</w:t>
      </w:r>
      <w:r>
        <w:t xml:space="preserve">, </w:t>
      </w:r>
      <w:r w:rsidRPr="003728DF">
        <w:t>2%)</w:t>
      </w:r>
      <w:r>
        <w:t xml:space="preserve">, </w:t>
      </w:r>
      <w:r w:rsidRPr="003728DF">
        <w:t>а тяжелой степени (Hb &lt; 70 г/л)</w:t>
      </w:r>
      <w:r>
        <w:t xml:space="preserve"> - </w:t>
      </w:r>
      <w:r w:rsidRPr="003728DF">
        <w:t>у 187 пациентов (12</w:t>
      </w:r>
      <w:r>
        <w:t xml:space="preserve">, </w:t>
      </w:r>
      <w:r w:rsidRPr="003728DF">
        <w:t>7%). В 317 историях болезни (21</w:t>
      </w:r>
      <w:r>
        <w:t xml:space="preserve">, </w:t>
      </w:r>
      <w:r w:rsidRPr="003728DF">
        <w:t>4%) присутствовали анамнестические указания на кровотечения различных локализаций</w:t>
      </w:r>
      <w:r>
        <w:t xml:space="preserve">, </w:t>
      </w:r>
      <w:r w:rsidRPr="003728DF">
        <w:t>перенесенные в течение последних лет</w:t>
      </w:r>
      <w:r>
        <w:t xml:space="preserve">, </w:t>
      </w:r>
      <w:r w:rsidRPr="003728DF">
        <w:t>что нашло отражение в постановке сопутствующего клинического диагноза постгеморрагической анемии</w:t>
      </w:r>
      <w:r>
        <w:t xml:space="preserve">, </w:t>
      </w:r>
      <w:r w:rsidRPr="003728DF">
        <w:t>но только в 171 случае (11</w:t>
      </w:r>
      <w:r>
        <w:t xml:space="preserve">, </w:t>
      </w:r>
      <w:r w:rsidRPr="003728DF">
        <w:t>5%) отразилось на терапии у данных пациентов в виде назначения препаратов соли железа. При этом причиной железо-дефицитной анемии у 1097 человек (74</w:t>
      </w:r>
      <w:r>
        <w:t xml:space="preserve">, </w:t>
      </w:r>
      <w:r w:rsidRPr="003728DF">
        <w:t>1%) являлась скрытая хроническая кровопотеря из эрозив-но-язвенных поражений слизистой верхних отделов желудочно-кишечного тракта</w:t>
      </w:r>
      <w:r>
        <w:t xml:space="preserve">, </w:t>
      </w:r>
      <w:r w:rsidRPr="003728DF">
        <w:t>у 272 больных (18</w:t>
      </w:r>
      <w:r>
        <w:t xml:space="preserve">, </w:t>
      </w:r>
      <w:r w:rsidRPr="003728DF">
        <w:t>3%)</w:t>
      </w:r>
      <w:r>
        <w:t xml:space="preserve"> - </w:t>
      </w:r>
      <w:r w:rsidRPr="003728DF">
        <w:t>хронические кровотечения других локализаций в анамнезе (носовые (92; 6</w:t>
      </w:r>
      <w:r>
        <w:t xml:space="preserve">, </w:t>
      </w:r>
      <w:r w:rsidRPr="003728DF">
        <w:t>2%)</w:t>
      </w:r>
      <w:r>
        <w:t xml:space="preserve">, </w:t>
      </w:r>
      <w:r w:rsidRPr="003728DF">
        <w:t>маточные (65; 4</w:t>
      </w:r>
      <w:r>
        <w:t xml:space="preserve">, </w:t>
      </w:r>
      <w:r w:rsidRPr="003728DF">
        <w:t>3%)</w:t>
      </w:r>
      <w:r>
        <w:t xml:space="preserve">, </w:t>
      </w:r>
      <w:r w:rsidRPr="003728DF">
        <w:t>почечные (52; 3</w:t>
      </w:r>
      <w:r>
        <w:t xml:space="preserve">, </w:t>
      </w:r>
      <w:r w:rsidRPr="003728DF">
        <w:t>4%)</w:t>
      </w:r>
      <w:r>
        <w:t xml:space="preserve">, </w:t>
      </w:r>
      <w:r w:rsidRPr="003728DF">
        <w:t>легочные (30; 2</w:t>
      </w:r>
      <w:r>
        <w:t xml:space="preserve">, </w:t>
      </w:r>
      <w:r w:rsidRPr="003728DF">
        <w:t>1%)</w:t>
      </w:r>
      <w:r>
        <w:t xml:space="preserve">, </w:t>
      </w:r>
      <w:r w:rsidRPr="003728DF">
        <w:t>прочие (33; 2</w:t>
      </w:r>
      <w:r>
        <w:t xml:space="preserve">, </w:t>
      </w:r>
      <w:r w:rsidRPr="003728DF">
        <w:t>3%))</w:t>
      </w:r>
      <w:r>
        <w:t xml:space="preserve">, </w:t>
      </w:r>
      <w:r w:rsidRPr="003728DF">
        <w:t>а у 113 пациентов (7</w:t>
      </w:r>
      <w:r>
        <w:t xml:space="preserve">, </w:t>
      </w:r>
      <w:r w:rsidRPr="003728DF">
        <w:t>6%) причина гипохромной анемии установлена не была. Из 1482 пациентов с гипохромной анемией препараты железа в стационаре были назначены 717 больным (48</w:t>
      </w:r>
      <w:r>
        <w:t xml:space="preserve">, </w:t>
      </w:r>
      <w:r w:rsidRPr="003728DF">
        <w:t>4%)</w:t>
      </w:r>
      <w:r>
        <w:t xml:space="preserve">, </w:t>
      </w:r>
      <w:r w:rsidRPr="003728DF">
        <w:t>причем коррекция дефицита железа</w:t>
      </w:r>
      <w:r>
        <w:t xml:space="preserve">, </w:t>
      </w:r>
      <w:r w:rsidRPr="003728DF">
        <w:t>начиная с отделения кардио-реанимации</w:t>
      </w:r>
      <w:r>
        <w:t xml:space="preserve">, </w:t>
      </w:r>
      <w:r w:rsidRPr="003728DF">
        <w:t>проводилась лишь</w:t>
      </w:r>
      <w:r>
        <w:t xml:space="preserve"> </w:t>
      </w:r>
      <w:r w:rsidRPr="003728DF">
        <w:t>348 пациентам (23</w:t>
      </w:r>
      <w:r>
        <w:t xml:space="preserve">, </w:t>
      </w:r>
      <w:r w:rsidRPr="003728DF">
        <w:t>5%). В большинстве случаев пероральные препараты двухвалентного железа назначались больным с тяжелой анемией и анемией средней степени тяжести. Больным со снижением концентрации Hb не ниже 90 г/л</w:t>
      </w:r>
      <w:r>
        <w:t xml:space="preserve">, </w:t>
      </w:r>
      <w:r w:rsidRPr="003728DF">
        <w:t>несмотря на тяжесть состояния</w:t>
      </w:r>
      <w:r>
        <w:t xml:space="preserve">, </w:t>
      </w:r>
      <w:r w:rsidRPr="003728DF">
        <w:t>обусловленную острой коронарной патологией</w:t>
      </w:r>
      <w:r>
        <w:t xml:space="preserve">, </w:t>
      </w:r>
      <w:r w:rsidRPr="003728DF">
        <w:t>коррекция дефицита железа проводилась крайне редко (см. табл. 1).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Таблица 1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Частота назначения препаратов железа больным ОКСБП-ST и анемией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5"/>
        <w:gridCol w:w="624"/>
        <w:gridCol w:w="3481"/>
        <w:gridCol w:w="3378"/>
      </w:tblGrid>
      <w:tr w:rsidR="00EC4FA4" w:rsidRPr="003728DF" w:rsidTr="00F61F1A">
        <w:trPr>
          <w:trHeight w:val="629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Степень анемии</w:t>
            </w:r>
          </w:p>
        </w:tc>
        <w:tc>
          <w:tcPr>
            <w:tcW w:w="21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Частота назначения препаратов Fe</w:t>
            </w:r>
            <w:r>
              <w:t xml:space="preserve">, </w:t>
            </w:r>
            <w:r w:rsidRPr="003728DF">
              <w:t>абс.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Частота назначения препаратов Fe</w:t>
            </w:r>
            <w:r>
              <w:t xml:space="preserve">, </w:t>
            </w:r>
            <w:r w:rsidRPr="003728DF">
              <w:t>%</w:t>
            </w:r>
          </w:p>
        </w:tc>
      </w:tr>
      <w:tr w:rsidR="00EC4FA4" w:rsidRPr="003728DF" w:rsidTr="00F61F1A">
        <w:trPr>
          <w:trHeight w:val="245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Легкая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/>
        </w:tc>
        <w:tc>
          <w:tcPr>
            <w:tcW w:w="179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49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6</w:t>
            </w:r>
            <w:r>
              <w:t xml:space="preserve">, </w:t>
            </w:r>
            <w:r w:rsidRPr="003728DF">
              <w:t>5</w:t>
            </w:r>
          </w:p>
        </w:tc>
      </w:tr>
      <w:tr w:rsidR="00EC4FA4" w:rsidRPr="003728DF" w:rsidTr="00F61F1A">
        <w:trPr>
          <w:trHeight w:val="250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Средняя</w:t>
            </w:r>
          </w:p>
        </w:tc>
        <w:tc>
          <w:tcPr>
            <w:tcW w:w="321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/>
        </w:tc>
        <w:tc>
          <w:tcPr>
            <w:tcW w:w="179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483</w:t>
            </w:r>
          </w:p>
        </w:tc>
        <w:tc>
          <w:tcPr>
            <w:tcW w:w="17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89</w:t>
            </w:r>
            <w:r>
              <w:t xml:space="preserve">, </w:t>
            </w:r>
            <w:r w:rsidRPr="003728DF">
              <w:t>9</w:t>
            </w:r>
          </w:p>
        </w:tc>
      </w:tr>
      <w:tr w:rsidR="00EC4FA4" w:rsidRPr="003728DF" w:rsidTr="00F61F1A">
        <w:trPr>
          <w:trHeight w:val="226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Тяжелая</w:t>
            </w:r>
          </w:p>
        </w:tc>
        <w:tc>
          <w:tcPr>
            <w:tcW w:w="32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FA4" w:rsidRPr="003728DF" w:rsidRDefault="00EC4FA4" w:rsidP="00F61F1A"/>
        </w:tc>
        <w:tc>
          <w:tcPr>
            <w:tcW w:w="179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185</w:t>
            </w:r>
          </w:p>
        </w:tc>
        <w:tc>
          <w:tcPr>
            <w:tcW w:w="17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98</w:t>
            </w:r>
            <w:r>
              <w:t xml:space="preserve">, </w:t>
            </w:r>
            <w:r w:rsidRPr="003728DF">
              <w:t>9</w:t>
            </w:r>
          </w:p>
        </w:tc>
      </w:tr>
    </w:tbl>
    <w:p w:rsidR="00EC4FA4" w:rsidRPr="003728DF" w:rsidRDefault="00EC4FA4" w:rsidP="00EC4FA4">
      <w:pPr>
        <w:spacing w:before="120"/>
        <w:ind w:firstLine="567"/>
        <w:jc w:val="both"/>
      </w:pPr>
      <w:r w:rsidRPr="003728DF">
        <w:t xml:space="preserve">Таблица 2 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Частота назначения антикоагулянтов больным ОКСБП-ST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5"/>
        <w:gridCol w:w="624"/>
        <w:gridCol w:w="3481"/>
        <w:gridCol w:w="3378"/>
      </w:tblGrid>
      <w:tr w:rsidR="00EC4FA4" w:rsidRPr="003728DF" w:rsidTr="00F61F1A">
        <w:trPr>
          <w:trHeight w:val="624"/>
        </w:trPr>
        <w:tc>
          <w:tcPr>
            <w:tcW w:w="14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Уровень гемоглобина</w:t>
            </w:r>
            <w:r>
              <w:t xml:space="preserve">, </w:t>
            </w:r>
            <w:r w:rsidRPr="003728DF">
              <w:t>г/л</w:t>
            </w:r>
          </w:p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Частота назначения антикоагулянтов</w:t>
            </w:r>
            <w:r>
              <w:t xml:space="preserve">, </w:t>
            </w:r>
            <w:r w:rsidRPr="003728DF">
              <w:t>абс.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Частота назначения антикоагулянтов</w:t>
            </w:r>
            <w:r>
              <w:t xml:space="preserve">, </w:t>
            </w:r>
            <w:r w:rsidRPr="003728DF">
              <w:t>%</w:t>
            </w:r>
          </w:p>
        </w:tc>
      </w:tr>
      <w:tr w:rsidR="00EC4FA4" w:rsidRPr="003728DF" w:rsidTr="00F61F1A">
        <w:trPr>
          <w:trHeight w:val="259"/>
        </w:trPr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>
            <w:r w:rsidRPr="003728DF">
              <w:t>Выше 120</w:t>
            </w:r>
          </w:p>
        </w:tc>
        <w:tc>
          <w:tcPr>
            <w:tcW w:w="32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/>
        </w:tc>
        <w:tc>
          <w:tcPr>
            <w:tcW w:w="179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852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97</w:t>
            </w:r>
            <w:r>
              <w:t xml:space="preserve">, </w:t>
            </w:r>
            <w:r w:rsidRPr="003728DF">
              <w:t>1</w:t>
            </w:r>
          </w:p>
        </w:tc>
      </w:tr>
      <w:tr w:rsidR="00EC4FA4" w:rsidRPr="003728DF" w:rsidTr="00F61F1A">
        <w:trPr>
          <w:trHeight w:val="240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>
            <w:r w:rsidRPr="003728DF">
              <w:t>От 90 до 120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/>
        </w:tc>
        <w:tc>
          <w:tcPr>
            <w:tcW w:w="17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706</w:t>
            </w:r>
          </w:p>
        </w:tc>
        <w:tc>
          <w:tcPr>
            <w:tcW w:w="17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93</w:t>
            </w:r>
            <w:r>
              <w:t xml:space="preserve">, </w:t>
            </w:r>
            <w:r w:rsidRPr="003728DF">
              <w:t>1</w:t>
            </w:r>
          </w:p>
        </w:tc>
      </w:tr>
      <w:tr w:rsidR="00EC4FA4" w:rsidRPr="003728DF" w:rsidTr="00F61F1A">
        <w:trPr>
          <w:trHeight w:val="245"/>
        </w:trPr>
        <w:tc>
          <w:tcPr>
            <w:tcW w:w="115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>
            <w:r w:rsidRPr="003728DF">
              <w:t>От 70 до 90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/>
        </w:tc>
        <w:tc>
          <w:tcPr>
            <w:tcW w:w="179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214</w:t>
            </w:r>
          </w:p>
        </w:tc>
        <w:tc>
          <w:tcPr>
            <w:tcW w:w="17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39</w:t>
            </w:r>
            <w:r>
              <w:t xml:space="preserve">, </w:t>
            </w:r>
            <w:r w:rsidRPr="003728DF">
              <w:t>9</w:t>
            </w:r>
          </w:p>
        </w:tc>
      </w:tr>
      <w:tr w:rsidR="00EC4FA4" w:rsidRPr="003728DF" w:rsidTr="00F61F1A">
        <w:trPr>
          <w:trHeight w:val="278"/>
        </w:trPr>
        <w:tc>
          <w:tcPr>
            <w:tcW w:w="115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FA4" w:rsidRPr="003728DF" w:rsidRDefault="00EC4FA4" w:rsidP="00F61F1A">
            <w:r w:rsidRPr="003728DF">
              <w:t>Ниже 70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/>
        </w:tc>
        <w:tc>
          <w:tcPr>
            <w:tcW w:w="179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8</w:t>
            </w:r>
          </w:p>
        </w:tc>
        <w:tc>
          <w:tcPr>
            <w:tcW w:w="17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4</w:t>
            </w:r>
            <w:r>
              <w:t xml:space="preserve">, </w:t>
            </w:r>
            <w:r w:rsidRPr="003728DF">
              <w:t>3</w:t>
            </w:r>
          </w:p>
        </w:tc>
      </w:tr>
    </w:tbl>
    <w:p w:rsidR="00EC4FA4" w:rsidRPr="003728DF" w:rsidRDefault="00EC4FA4" w:rsidP="00EC4FA4">
      <w:pPr>
        <w:spacing w:before="120"/>
        <w:ind w:firstLine="567"/>
        <w:jc w:val="both"/>
      </w:pPr>
      <w:r w:rsidRPr="003728DF">
        <w:t>Таблица 3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Используемые антикоагулянты и препараты железа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0"/>
        <w:gridCol w:w="544"/>
        <w:gridCol w:w="2690"/>
        <w:gridCol w:w="3504"/>
      </w:tblGrid>
      <w:tr w:rsidR="00EC4FA4" w:rsidRPr="003728DF" w:rsidTr="00F61F1A">
        <w:trPr>
          <w:trHeight w:val="643"/>
        </w:trPr>
        <w:tc>
          <w:tcPr>
            <w:tcW w:w="18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Группа лекарственного препарата</w:t>
            </w:r>
          </w:p>
        </w:tc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Частота назначения</w:t>
            </w:r>
            <w:r>
              <w:t xml:space="preserve">, </w:t>
            </w:r>
            <w:r w:rsidRPr="003728DF">
              <w:t>абс.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Частота назначения</w:t>
            </w:r>
            <w:r>
              <w:t xml:space="preserve">, </w:t>
            </w:r>
          </w:p>
          <w:p w:rsidR="00EC4FA4" w:rsidRPr="003728DF" w:rsidRDefault="00EC4FA4" w:rsidP="00F61F1A">
            <w:r w:rsidRPr="003728DF">
              <w:t>%</w:t>
            </w:r>
          </w:p>
        </w:tc>
      </w:tr>
      <w:tr w:rsidR="00EC4FA4" w:rsidRPr="003728DF" w:rsidTr="00F61F1A">
        <w:trPr>
          <w:trHeight w:val="250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>
            <w:r w:rsidRPr="003728DF">
              <w:t>Гепарин</w:t>
            </w:r>
          </w:p>
        </w:tc>
        <w:tc>
          <w:tcPr>
            <w:tcW w:w="28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/>
        </w:tc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598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64</w:t>
            </w:r>
            <w:r>
              <w:t xml:space="preserve">, </w:t>
            </w:r>
            <w:r w:rsidRPr="003728DF">
              <w:t>4</w:t>
            </w:r>
          </w:p>
        </w:tc>
      </w:tr>
      <w:tr w:rsidR="00EC4FA4" w:rsidRPr="003728DF" w:rsidTr="00F61F1A">
        <w:trPr>
          <w:trHeight w:val="240"/>
        </w:trPr>
        <w:tc>
          <w:tcPr>
            <w:tcW w:w="153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>
            <w:r w:rsidRPr="003728DF">
              <w:t>НМГ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/>
        </w:tc>
        <w:tc>
          <w:tcPr>
            <w:tcW w:w="1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84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9</w:t>
            </w:r>
            <w:r>
              <w:t xml:space="preserve">, </w:t>
            </w:r>
            <w:r w:rsidRPr="003728DF">
              <w:t>1</w:t>
            </w:r>
          </w:p>
        </w:tc>
      </w:tr>
      <w:tr w:rsidR="00EC4FA4" w:rsidRPr="003728DF" w:rsidTr="00F61F1A">
        <w:trPr>
          <w:trHeight w:val="245"/>
        </w:trPr>
        <w:tc>
          <w:tcPr>
            <w:tcW w:w="153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>
            <w:r w:rsidRPr="003728DF">
              <w:t>НФГ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/>
        </w:tc>
        <w:tc>
          <w:tcPr>
            <w:tcW w:w="1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221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23</w:t>
            </w:r>
            <w:r>
              <w:t xml:space="preserve">, </w:t>
            </w:r>
            <w:r w:rsidRPr="003728DF">
              <w:t>8</w:t>
            </w:r>
          </w:p>
        </w:tc>
      </w:tr>
      <w:tr w:rsidR="00EC4FA4" w:rsidRPr="003728DF" w:rsidTr="00F61F1A">
        <w:trPr>
          <w:trHeight w:val="245"/>
        </w:trPr>
        <w:tc>
          <w:tcPr>
            <w:tcW w:w="1533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>
            <w:r w:rsidRPr="003728DF">
              <w:t>Варфарин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/>
        </w:tc>
        <w:tc>
          <w:tcPr>
            <w:tcW w:w="1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27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2</w:t>
            </w:r>
            <w:r>
              <w:t xml:space="preserve">, </w:t>
            </w:r>
            <w:r w:rsidRPr="003728DF">
              <w:t>7</w:t>
            </w:r>
          </w:p>
        </w:tc>
      </w:tr>
      <w:tr w:rsidR="00EC4FA4" w:rsidRPr="003728DF" w:rsidTr="00F61F1A">
        <w:trPr>
          <w:trHeight w:val="422"/>
        </w:trPr>
        <w:tc>
          <w:tcPr>
            <w:tcW w:w="181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Препараты солей 2-валентного железа</w:t>
            </w:r>
          </w:p>
        </w:tc>
        <w:tc>
          <w:tcPr>
            <w:tcW w:w="138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662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92</w:t>
            </w:r>
            <w:r>
              <w:t xml:space="preserve">, </w:t>
            </w:r>
            <w:r w:rsidRPr="003728DF">
              <w:t>3</w:t>
            </w:r>
          </w:p>
        </w:tc>
      </w:tr>
      <w:tr w:rsidR="00EC4FA4" w:rsidRPr="003728DF" w:rsidTr="00F61F1A">
        <w:trPr>
          <w:trHeight w:val="442"/>
        </w:trPr>
        <w:tc>
          <w:tcPr>
            <w:tcW w:w="181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Препараты солей 3-валентного железа</w:t>
            </w:r>
          </w:p>
        </w:tc>
        <w:tc>
          <w:tcPr>
            <w:tcW w:w="138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55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7</w:t>
            </w:r>
            <w:r>
              <w:t xml:space="preserve">, </w:t>
            </w:r>
            <w:r w:rsidRPr="003728DF">
              <w:t>7</w:t>
            </w:r>
          </w:p>
        </w:tc>
      </w:tr>
    </w:tbl>
    <w:p w:rsidR="00EC4FA4" w:rsidRPr="003728DF" w:rsidRDefault="00EC4FA4" w:rsidP="00EC4FA4">
      <w:pPr>
        <w:spacing w:before="120"/>
        <w:ind w:firstLine="567"/>
        <w:jc w:val="both"/>
      </w:pPr>
      <w:r w:rsidRPr="003728DF">
        <w:t>Таблица 4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Зависимость неблагоприятных событий от уровня Hb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0"/>
        <w:gridCol w:w="544"/>
        <w:gridCol w:w="2690"/>
        <w:gridCol w:w="3504"/>
      </w:tblGrid>
      <w:tr w:rsidR="00EC4FA4" w:rsidRPr="003728DF" w:rsidTr="00F61F1A">
        <w:trPr>
          <w:trHeight w:val="830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Уровень гемоглобина</w:t>
            </w:r>
            <w:r>
              <w:t xml:space="preserve">, </w:t>
            </w:r>
            <w:r w:rsidRPr="003728DF">
              <w:t>г/л</w:t>
            </w:r>
          </w:p>
        </w:tc>
        <w:tc>
          <w:tcPr>
            <w:tcW w:w="166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Частота развития инфаркта миокарда</w:t>
            </w:r>
            <w:r>
              <w:t xml:space="preserve">, </w:t>
            </w:r>
            <w:r w:rsidRPr="003728DF">
              <w:t>абс.(%)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Смертность</w:t>
            </w:r>
            <w:r>
              <w:t xml:space="preserve">, </w:t>
            </w:r>
          </w:p>
          <w:p w:rsidR="00EC4FA4" w:rsidRPr="003728DF" w:rsidRDefault="00EC4FA4" w:rsidP="00F61F1A">
            <w:r w:rsidRPr="003728DF">
              <w:t>абс. (%)</w:t>
            </w:r>
          </w:p>
        </w:tc>
      </w:tr>
      <w:tr w:rsidR="00EC4FA4" w:rsidRPr="003728DF" w:rsidTr="00F61F1A">
        <w:trPr>
          <w:trHeight w:val="245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Выше 120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/>
        </w:tc>
        <w:tc>
          <w:tcPr>
            <w:tcW w:w="138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688 (74</w:t>
            </w:r>
            <w:r>
              <w:t xml:space="preserve">, </w:t>
            </w:r>
            <w:r w:rsidRPr="003728DF">
              <w:t>4)</w:t>
            </w:r>
          </w:p>
        </w:tc>
        <w:tc>
          <w:tcPr>
            <w:tcW w:w="18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62 (7</w:t>
            </w:r>
            <w:r>
              <w:t xml:space="preserve">, </w:t>
            </w:r>
            <w:r w:rsidRPr="003728DF">
              <w:t>1)</w:t>
            </w:r>
          </w:p>
        </w:tc>
      </w:tr>
      <w:tr w:rsidR="00EC4FA4" w:rsidRPr="003728DF" w:rsidTr="00F61F1A">
        <w:trPr>
          <w:trHeight w:val="245"/>
        </w:trPr>
        <w:tc>
          <w:tcPr>
            <w:tcW w:w="15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От 90 до 120</w:t>
            </w:r>
          </w:p>
        </w:tc>
        <w:tc>
          <w:tcPr>
            <w:tcW w:w="28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/>
        </w:tc>
        <w:tc>
          <w:tcPr>
            <w:tcW w:w="138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638 (84</w:t>
            </w:r>
            <w:r>
              <w:t xml:space="preserve">, </w:t>
            </w:r>
            <w:r w:rsidRPr="003728DF">
              <w:t>2)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47 (6</w:t>
            </w:r>
            <w:r>
              <w:t xml:space="preserve">, </w:t>
            </w:r>
            <w:r w:rsidRPr="003728DF">
              <w:t>2)</w:t>
            </w:r>
          </w:p>
        </w:tc>
      </w:tr>
      <w:tr w:rsidR="00EC4FA4" w:rsidRPr="003728DF" w:rsidTr="00F61F1A">
        <w:trPr>
          <w:trHeight w:val="245"/>
        </w:trPr>
        <w:tc>
          <w:tcPr>
            <w:tcW w:w="153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От 70 до 90</w:t>
            </w:r>
          </w:p>
        </w:tc>
        <w:tc>
          <w:tcPr>
            <w:tcW w:w="28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C4FA4" w:rsidRPr="003728DF" w:rsidRDefault="00EC4FA4" w:rsidP="00F61F1A"/>
        </w:tc>
        <w:tc>
          <w:tcPr>
            <w:tcW w:w="138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503 (93</w:t>
            </w:r>
            <w:r>
              <w:t xml:space="preserve">, </w:t>
            </w:r>
            <w:r w:rsidRPr="003728DF">
              <w:t>7)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71 (13</w:t>
            </w:r>
            <w:r>
              <w:t xml:space="preserve">, </w:t>
            </w:r>
            <w:r w:rsidRPr="003728DF">
              <w:t>2)</w:t>
            </w:r>
          </w:p>
        </w:tc>
      </w:tr>
      <w:tr w:rsidR="00EC4FA4" w:rsidRPr="003728DF" w:rsidTr="00F61F1A">
        <w:trPr>
          <w:trHeight w:val="264"/>
        </w:trPr>
        <w:tc>
          <w:tcPr>
            <w:tcW w:w="153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Ниже 70</w:t>
            </w:r>
          </w:p>
        </w:tc>
        <w:tc>
          <w:tcPr>
            <w:tcW w:w="28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C4FA4" w:rsidRPr="003728DF" w:rsidRDefault="00EC4FA4" w:rsidP="00F61F1A"/>
        </w:tc>
        <w:tc>
          <w:tcPr>
            <w:tcW w:w="138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182 (97</w:t>
            </w:r>
            <w:r>
              <w:t xml:space="preserve">, </w:t>
            </w:r>
            <w:r w:rsidRPr="003728DF">
              <w:t>3)</w:t>
            </w:r>
          </w:p>
        </w:tc>
        <w:tc>
          <w:tcPr>
            <w:tcW w:w="18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A4" w:rsidRPr="003728DF" w:rsidRDefault="00EC4FA4" w:rsidP="00F61F1A">
            <w:r w:rsidRPr="003728DF">
              <w:t>146 (78</w:t>
            </w:r>
            <w:r>
              <w:t xml:space="preserve">, </w:t>
            </w:r>
            <w:r w:rsidRPr="003728DF">
              <w:t>1)</w:t>
            </w:r>
          </w:p>
        </w:tc>
      </w:tr>
    </w:tbl>
    <w:p w:rsidR="00EC4FA4" w:rsidRPr="003728DF" w:rsidRDefault="00EC4FA4" w:rsidP="00EC4FA4">
      <w:pPr>
        <w:spacing w:before="120"/>
        <w:ind w:firstLine="567"/>
        <w:jc w:val="both"/>
      </w:pPr>
      <w:r w:rsidRPr="003728DF">
        <w:t>Низкий уровень Hb зачастую расценивался врачами как предиктор высокого риска развития кровотечения</w:t>
      </w:r>
      <w:r>
        <w:t xml:space="preserve">, </w:t>
      </w:r>
      <w:r w:rsidRPr="003728DF">
        <w:t>именно поэтому пациентам с ОКСБП-ST в большом проценте случаев в отделении кардиореанимации не назначались антикоагулянты даже в малых дозах. При этом истинный риск развития кровотечения</w:t>
      </w:r>
      <w:r>
        <w:t xml:space="preserve">, </w:t>
      </w:r>
      <w:r w:rsidRPr="003728DF">
        <w:t>определяемый по шкале CRUSADE</w:t>
      </w:r>
      <w:r>
        <w:t xml:space="preserve">, </w:t>
      </w:r>
      <w:r w:rsidRPr="003728DF">
        <w:t>не оценивался ни у одного больного. Из 1482 пациентов с ОКСБП-ST по причине наличия анемии антикоагулянты в стационаре были назначены 928 больным (62</w:t>
      </w:r>
      <w:r>
        <w:t xml:space="preserve">, </w:t>
      </w:r>
      <w:r w:rsidRPr="003728DF">
        <w:t>6%)</w:t>
      </w:r>
      <w:r>
        <w:t xml:space="preserve">, </w:t>
      </w:r>
      <w:r w:rsidRPr="003728DF">
        <w:t>в то время как при ОКС без анемии (n=878)</w:t>
      </w:r>
      <w:r>
        <w:t xml:space="preserve"> - </w:t>
      </w:r>
      <w:r w:rsidRPr="003728DF">
        <w:t>852 больным (97</w:t>
      </w:r>
      <w:r>
        <w:t xml:space="preserve">, </w:t>
      </w:r>
      <w:r w:rsidRPr="003728DF">
        <w:t>1%). Частота назначения антитромботической терапии пациентам с анемией средней и тяжелой степеней (n=222) и высоким риском кровотечения составляет 30</w:t>
      </w:r>
      <w:r>
        <w:t xml:space="preserve">, </w:t>
      </w:r>
      <w:r w:rsidRPr="003728DF">
        <w:t>7% (см. табл. 2).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Антитромботическая терапия была назначена 1173 больным (79</w:t>
      </w:r>
      <w:r>
        <w:t xml:space="preserve">, </w:t>
      </w:r>
      <w:r w:rsidRPr="003728DF">
        <w:t>1%)</w:t>
      </w:r>
      <w:r>
        <w:t xml:space="preserve">, </w:t>
      </w:r>
      <w:r w:rsidRPr="003728DF">
        <w:t>при этом ацетилсалициловая кислота использовалась в 69</w:t>
      </w:r>
      <w:r>
        <w:t xml:space="preserve">, </w:t>
      </w:r>
      <w:r w:rsidRPr="003728DF">
        <w:t>2% случаев (n=812)</w:t>
      </w:r>
      <w:r>
        <w:t xml:space="preserve">, </w:t>
      </w:r>
      <w:r w:rsidRPr="003728DF">
        <w:t>клопидогрел</w:t>
      </w:r>
      <w:r>
        <w:t xml:space="preserve"> - </w:t>
      </w:r>
      <w:r w:rsidRPr="003728DF">
        <w:t>в 19</w:t>
      </w:r>
      <w:r>
        <w:t xml:space="preserve">, </w:t>
      </w:r>
      <w:r w:rsidRPr="003728DF">
        <w:t>6% случаев (n=230)</w:t>
      </w:r>
      <w:r>
        <w:t xml:space="preserve">, </w:t>
      </w:r>
      <w:r w:rsidRPr="003728DF">
        <w:t>а двойная антитромботическая терапия в виде их комбинации применялась в 11</w:t>
      </w:r>
      <w:r>
        <w:t xml:space="preserve">, </w:t>
      </w:r>
      <w:r w:rsidRPr="003728DF">
        <w:t>2% случаев (n=131). Спектр и частота назначения больным с анемией антикоагулянтов и препаратов железа представлен в таблице 3.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Таким образом</w:t>
      </w:r>
      <w:r>
        <w:t xml:space="preserve">, </w:t>
      </w:r>
      <w:r w:rsidRPr="003728DF">
        <w:t>в группе пациентов с ОКСБП-ST и снижением уровня Hb ниже 90 г/л</w:t>
      </w:r>
      <w:r>
        <w:t xml:space="preserve">, </w:t>
      </w:r>
      <w:r w:rsidRPr="003728DF">
        <w:t>которые ассоциированы с плохим прогнозом и большой вероятностью развития неблагоприятных событий в ближайшее время</w:t>
      </w:r>
      <w:r>
        <w:t xml:space="preserve">, </w:t>
      </w:r>
      <w:r w:rsidRPr="003728DF">
        <w:t>больные имеют еще и высокий риск ишемических осложнений</w:t>
      </w:r>
      <w:r>
        <w:t xml:space="preserve">, </w:t>
      </w:r>
      <w:r w:rsidRPr="003728DF">
        <w:t>обусловленных практически полным отсутствием антитромботической терапии. В результате сопоставления тяжести клинического течения ОКСБП-ST и уровня Hb была выявлена прямая связь между частотой формирования инфаркта миокарда</w:t>
      </w:r>
      <w:r>
        <w:t xml:space="preserve">, </w:t>
      </w:r>
      <w:r w:rsidRPr="003728DF">
        <w:t>смертностью больных и уровнем Hb. Так</w:t>
      </w:r>
      <w:r>
        <w:t xml:space="preserve">, </w:t>
      </w:r>
      <w:r w:rsidRPr="003728DF">
        <w:t>у больных с анемией тяжелой степени частота развития инфаркта миокарда была на 22</w:t>
      </w:r>
      <w:r>
        <w:t xml:space="preserve">, </w:t>
      </w:r>
      <w:r w:rsidRPr="003728DF">
        <w:t>9% выше</w:t>
      </w:r>
      <w:r>
        <w:t xml:space="preserve">, </w:t>
      </w:r>
      <w:r w:rsidRPr="003728DF">
        <w:t>а смертность на 77% выше по сравнению с пациентами без анемии (p&lt;0</w:t>
      </w:r>
      <w:r>
        <w:t xml:space="preserve">, </w:t>
      </w:r>
      <w:r w:rsidRPr="003728DF">
        <w:t>05) (см. табл. 4).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Общая смертность в группе пациентов с анемией составила 17</w:t>
      </w:r>
      <w:r>
        <w:t xml:space="preserve">, </w:t>
      </w:r>
      <w:r w:rsidRPr="003728DF">
        <w:t>8% (n=264) от общего числа пациентов с ОКСБП-ST</w:t>
      </w:r>
      <w:r>
        <w:t xml:space="preserve">, </w:t>
      </w:r>
      <w:r w:rsidRPr="003728DF">
        <w:t>а в группе больных с нормальной концентрацией Hb</w:t>
      </w:r>
      <w:r>
        <w:t xml:space="preserve"> - </w:t>
      </w:r>
      <w:r w:rsidRPr="003728DF">
        <w:t>7</w:t>
      </w:r>
      <w:r>
        <w:t xml:space="preserve">, </w:t>
      </w:r>
      <w:r w:rsidRPr="003728DF">
        <w:t>1% (n=62). Общая частота развития инфаркта миокарда в группе пациентов с анемией составила 89</w:t>
      </w:r>
      <w:r>
        <w:t xml:space="preserve">, </w:t>
      </w:r>
      <w:r w:rsidRPr="003728DF">
        <w:t>3% (n=1323)</w:t>
      </w:r>
      <w:r>
        <w:t xml:space="preserve">, </w:t>
      </w:r>
      <w:r w:rsidRPr="003728DF">
        <w:t>а в группе с нормальным уровнем Hb</w:t>
      </w:r>
      <w:r>
        <w:t xml:space="preserve"> - </w:t>
      </w:r>
      <w:r w:rsidRPr="003728DF">
        <w:t>74</w:t>
      </w:r>
      <w:r>
        <w:t xml:space="preserve">, </w:t>
      </w:r>
      <w:r w:rsidRPr="003728DF">
        <w:t>4% (n=688) от общего числа больных с ОКСБП-ST. Согласно полученным результатам</w:t>
      </w:r>
      <w:r>
        <w:t xml:space="preserve">, </w:t>
      </w:r>
      <w:r w:rsidRPr="003728DF">
        <w:t>наибольший риск смерти и развития инфаркта миокарда имеют пациенты с анемией</w:t>
      </w:r>
      <w:r>
        <w:t xml:space="preserve">, </w:t>
      </w:r>
      <w:r w:rsidRPr="003728DF">
        <w:t>а среди них больные со снижением Hb крови средней и тяжелой степени. Таким образом</w:t>
      </w:r>
      <w:r>
        <w:t xml:space="preserve">, </w:t>
      </w:r>
      <w:r w:rsidRPr="003728DF">
        <w:t>суммарная частота развития инфаркта миокарда у пациентов с ОКСБП-ST</w:t>
      </w:r>
      <w:r>
        <w:t xml:space="preserve">, </w:t>
      </w:r>
      <w:r w:rsidRPr="003728DF">
        <w:t>прошедших через отделение кардиореанимации в 2006-2009 гг.</w:t>
      </w:r>
      <w:r>
        <w:t xml:space="preserve">, </w:t>
      </w:r>
      <w:r w:rsidRPr="003728DF">
        <w:t>вне зависимости от наличия анемии составила 81</w:t>
      </w:r>
      <w:r>
        <w:t xml:space="preserve">, </w:t>
      </w:r>
      <w:r w:rsidRPr="003728DF">
        <w:t>3% (n=2011)</w:t>
      </w:r>
      <w:r>
        <w:t xml:space="preserve">, </w:t>
      </w:r>
      <w:r w:rsidRPr="003728DF">
        <w:t>а общая летальность</w:t>
      </w:r>
      <w:r>
        <w:t xml:space="preserve"> - </w:t>
      </w:r>
      <w:r w:rsidRPr="003728DF">
        <w:t>13</w:t>
      </w:r>
      <w:r>
        <w:t xml:space="preserve">, </w:t>
      </w:r>
      <w:r w:rsidRPr="003728DF">
        <w:t>2% (n=326). Средний возраст 326 умерших больных</w:t>
      </w:r>
      <w:r>
        <w:t xml:space="preserve">, </w:t>
      </w:r>
      <w:r w:rsidRPr="003728DF">
        <w:t>вошедших во вторую часть исследования</w:t>
      </w:r>
      <w:r>
        <w:t xml:space="preserve">, </w:t>
      </w:r>
      <w:r w:rsidRPr="003728DF">
        <w:t>на момент смерти составил 61</w:t>
      </w:r>
      <w:r>
        <w:t xml:space="preserve">, </w:t>
      </w:r>
      <w:r w:rsidRPr="003728DF">
        <w:t>3+11</w:t>
      </w:r>
      <w:r>
        <w:t xml:space="preserve">, </w:t>
      </w:r>
      <w:r w:rsidRPr="003728DF">
        <w:t>6 года. Согласно материалам патологоанатомической службы стационара к смерти всех пациентов привела ишемическая болезнь сердца</w:t>
      </w:r>
      <w:r>
        <w:t xml:space="preserve">, </w:t>
      </w:r>
      <w:r w:rsidRPr="003728DF">
        <w:t>которая была представлена подтвержденными на секции острым инфарктом миокарда (n=287) и постинфарктным кардиосклерозом (n=39). Частота развития осложнений у больных с ОКСБП-ST различалась в зависимости от наличия и степени тяжести железодефицитной анемии. Наибольшая частота фатальных (22</w:t>
      </w:r>
      <w:r>
        <w:t xml:space="preserve">, </w:t>
      </w:r>
      <w:r w:rsidRPr="003728DF">
        <w:t>1%) и нефатальных (37</w:t>
      </w:r>
      <w:r>
        <w:t xml:space="preserve">, </w:t>
      </w:r>
      <w:r w:rsidRPr="003728DF">
        <w:t>4%) тромботических осложнений имела место у пациентов с ОКСБП-ST и анемией</w:t>
      </w:r>
      <w:r>
        <w:t xml:space="preserve">, </w:t>
      </w:r>
      <w:r w:rsidRPr="003728DF">
        <w:t>которым антитромботическая терапия в стационаре по причине сниженного уровня Hb не проводилась.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Заключительная часть исследования состояла в изучении эффективности и безопасности низкомолекулярного гепарина</w:t>
      </w:r>
      <w:r>
        <w:t xml:space="preserve"> - </w:t>
      </w:r>
      <w:r w:rsidRPr="003728DF">
        <w:t>далтепарина натрия. В данный этап работы были включены 83 пациента с ОКСБП-ST</w:t>
      </w:r>
      <w:r>
        <w:t xml:space="preserve">, </w:t>
      </w:r>
      <w:r w:rsidRPr="003728DF">
        <w:t>железодефицитной анемией</w:t>
      </w:r>
      <w:r>
        <w:t xml:space="preserve">, </w:t>
      </w:r>
      <w:r w:rsidRPr="003728DF">
        <w:t>высоким риском кровотечения и высоким риском развития неблагоприятных событий (смерть</w:t>
      </w:r>
      <w:r>
        <w:t xml:space="preserve">, </w:t>
      </w:r>
      <w:r w:rsidRPr="003728DF">
        <w:t>инфаркт миокарда). Все пациенты методом «случай</w:t>
      </w:r>
      <w:r>
        <w:t xml:space="preserve"> - </w:t>
      </w:r>
      <w:r w:rsidRPr="003728DF">
        <w:t>контроль» были разделены на две группы</w:t>
      </w:r>
      <w:r>
        <w:t xml:space="preserve"> - </w:t>
      </w:r>
      <w:r w:rsidRPr="003728DF">
        <w:t>А (далтепарин натрия) и В (контроль)</w:t>
      </w:r>
      <w:r>
        <w:t xml:space="preserve">, </w:t>
      </w:r>
      <w:r w:rsidRPr="003728DF">
        <w:t>сопоставимые по численности</w:t>
      </w:r>
      <w:r>
        <w:t xml:space="preserve">, </w:t>
      </w:r>
      <w:r w:rsidRPr="003728DF">
        <w:t>возрасту</w:t>
      </w:r>
      <w:r>
        <w:t xml:space="preserve">, </w:t>
      </w:r>
      <w:r w:rsidRPr="003728DF">
        <w:t>тяжести клинических</w:t>
      </w:r>
      <w:r>
        <w:t xml:space="preserve">, </w:t>
      </w:r>
      <w:r w:rsidRPr="003728DF">
        <w:t>инструментальных и лабораторных критериев коронарной болезни сердца и железодефицитной анемии.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Коррекция дефицита железа</w:t>
      </w:r>
      <w:r>
        <w:t xml:space="preserve">, </w:t>
      </w:r>
      <w:r w:rsidRPr="003728DF">
        <w:t>независимо от степени снижения Hb и тяжести железодефицитной анемии</w:t>
      </w:r>
      <w:r>
        <w:t xml:space="preserve">, </w:t>
      </w:r>
      <w:r w:rsidRPr="003728DF">
        <w:t>в составе комплексной фармакотерапии ОКСБП-ST проводилась в 100% случаев. Применение далтепарина натрия на фоне проводимой терапии ОКСБП-ST у пациентов с железодефицитной анемией</w:t>
      </w:r>
      <w:r>
        <w:t xml:space="preserve">, </w:t>
      </w:r>
      <w:r w:rsidRPr="003728DF">
        <w:t>высоким риском кровотечения и развития неблагоприятных событий способствовало положительной клинической и лабораторной динамике</w:t>
      </w:r>
      <w:r>
        <w:t xml:space="preserve">, </w:t>
      </w:r>
      <w:r w:rsidRPr="003728DF">
        <w:t>которая отразилась в прогнозе и исходах ОКСБП-ST</w:t>
      </w:r>
      <w:r>
        <w:t xml:space="preserve">, </w:t>
      </w:r>
      <w:r w:rsidRPr="003728DF">
        <w:t>а также в изменениях параметров коагулограммы</w:t>
      </w:r>
      <w:r>
        <w:t xml:space="preserve">, </w:t>
      </w:r>
      <w:r w:rsidRPr="003728DF">
        <w:t>общего и биохимического анализов крови.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Различия показателей считались достоверно значимыми при p&lt;0</w:t>
      </w:r>
      <w:r>
        <w:t xml:space="preserve">, </w:t>
      </w:r>
      <w:r w:rsidRPr="003728DF">
        <w:t>05. Были получены положительные результаты в отношении конечных точек</w:t>
      </w:r>
      <w:r>
        <w:t xml:space="preserve">, </w:t>
      </w:r>
      <w:r w:rsidRPr="003728DF">
        <w:t>которыми являлись развитие кровотечения</w:t>
      </w:r>
      <w:r>
        <w:t xml:space="preserve">, </w:t>
      </w:r>
      <w:r w:rsidRPr="003728DF">
        <w:t>инфаркт миокарда и смерть от любых причин. В группе А было зарегистрировано 2 случая развития инфаркта миокарда с патологическим зубцом Q</w:t>
      </w:r>
      <w:r>
        <w:t xml:space="preserve">, </w:t>
      </w:r>
      <w:r w:rsidRPr="003728DF">
        <w:t>что повлекло за собой отмену у этих больных далтепарина натрия. Остальные 35 больных своевременно закончили прием далтепарина натрия на 5-й день стационарного лечения. В группе В инфаркт миокарда с патологическим зубцом Q сформировался у 9 больных. Инфаркт миокарда без патологического зубца Q в группе А сформировался в 19 случаях</w:t>
      </w:r>
      <w:r>
        <w:t xml:space="preserve">, </w:t>
      </w:r>
      <w:r w:rsidRPr="003728DF">
        <w:t>в то время как в группе В ОКСБП-ST привел к развитию инфаркта миокарда без патологического зубца Q у 32 пациентов.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Ни одного случая кровотечения на фоне антитромботической терапии дальтепарином натрия зарегистрировано не было. Анти-Ха-активность плазмы находилась в пределах 0</w:t>
      </w:r>
      <w:r>
        <w:t xml:space="preserve">, </w:t>
      </w:r>
      <w:r w:rsidRPr="003728DF">
        <w:t>2-0</w:t>
      </w:r>
      <w:r>
        <w:t xml:space="preserve">, </w:t>
      </w:r>
      <w:r w:rsidRPr="003728DF">
        <w:t>4 МЕ/мл. В последующие за отменой препарата 10 дней у 4 больных группы А были отмечены носовые кровотечения (частота 10</w:t>
      </w:r>
      <w:r>
        <w:t xml:space="preserve">, </w:t>
      </w:r>
      <w:r w:rsidRPr="003728DF">
        <w:t>8%)</w:t>
      </w:r>
      <w:r>
        <w:t xml:space="preserve">, </w:t>
      </w:r>
      <w:r w:rsidRPr="003728DF">
        <w:t>которые по шкале GUSTO соответствовали легкой степени</w:t>
      </w:r>
      <w:r>
        <w:t xml:space="preserve">, </w:t>
      </w:r>
      <w:r w:rsidRPr="003728DF">
        <w:t>не вызывали нарушений гемодинамики</w:t>
      </w:r>
      <w:r>
        <w:t xml:space="preserve">, </w:t>
      </w:r>
      <w:r w:rsidRPr="003728DF">
        <w:t>были самостоятельно купированы и не требовали проведения гемотрансфузии. В группе В было зарегистрировано два случая носовых кровотечений (частота 4</w:t>
      </w:r>
      <w:r>
        <w:t xml:space="preserve">, </w:t>
      </w:r>
      <w:r w:rsidRPr="003728DF">
        <w:t>3%) легкой степени по шкале GUSTO (p&gt;0</w:t>
      </w:r>
      <w:r>
        <w:t xml:space="preserve">, </w:t>
      </w:r>
      <w:r w:rsidRPr="003728DF">
        <w:t>05). За время</w:t>
      </w:r>
      <w:r>
        <w:t xml:space="preserve">, </w:t>
      </w:r>
      <w:r w:rsidRPr="003728DF">
        <w:t>проведенное в отделении кардиореанимации</w:t>
      </w:r>
      <w:r>
        <w:t xml:space="preserve">, </w:t>
      </w:r>
      <w:r w:rsidRPr="003728DF">
        <w:t>смертей в группе А зафиксировано не было</w:t>
      </w:r>
      <w:r>
        <w:t xml:space="preserve">, </w:t>
      </w:r>
      <w:r w:rsidRPr="003728DF">
        <w:t>между тем в группе В умерло 3 пациента. В последующие 10 дней стационарного лечения в группе А умерло 2 человека</w:t>
      </w:r>
      <w:r>
        <w:t xml:space="preserve">, </w:t>
      </w:r>
      <w:r w:rsidRPr="003728DF">
        <w:t>а в контрольной группе В</w:t>
      </w:r>
      <w:r>
        <w:t xml:space="preserve"> - </w:t>
      </w:r>
      <w:r w:rsidRPr="003728DF">
        <w:t>3. Таким образом</w:t>
      </w:r>
      <w:r>
        <w:t xml:space="preserve">, </w:t>
      </w:r>
      <w:r w:rsidRPr="003728DF">
        <w:t>общая летальность в группе А составила 8</w:t>
      </w:r>
      <w:r>
        <w:t xml:space="preserve">, </w:t>
      </w:r>
      <w:r w:rsidRPr="003728DF">
        <w:t>1%</w:t>
      </w:r>
      <w:r>
        <w:t xml:space="preserve">, </w:t>
      </w:r>
      <w:r w:rsidRPr="003728DF">
        <w:t>а в группе В</w:t>
      </w:r>
      <w:r>
        <w:t xml:space="preserve"> - </w:t>
      </w:r>
      <w:r w:rsidRPr="003728DF">
        <w:t>13</w:t>
      </w:r>
      <w:r>
        <w:t xml:space="preserve">, </w:t>
      </w:r>
      <w:r w:rsidRPr="003728DF">
        <w:t>1% (p&lt;0</w:t>
      </w:r>
      <w:r>
        <w:t xml:space="preserve">, </w:t>
      </w:r>
      <w:r w:rsidRPr="003728DF">
        <w:t>05). Кроме того</w:t>
      </w:r>
      <w:r>
        <w:t xml:space="preserve">, </w:t>
      </w:r>
      <w:r w:rsidRPr="003728DF">
        <w:t>не было зарегистрировано нежелательных явлений</w:t>
      </w:r>
      <w:r>
        <w:t xml:space="preserve">, </w:t>
      </w:r>
      <w:r w:rsidRPr="003728DF">
        <w:t>повлекших за собой исключение больных из исследования. В ходе работы ни один из включенных в него пациентов не отказался от приема изучаемого лекарственного средства. Таким образом</w:t>
      </w:r>
      <w:r>
        <w:t xml:space="preserve">, </w:t>
      </w:r>
      <w:r w:rsidRPr="003728DF">
        <w:t>полученные результаты позволяют широко использовать далтепарин натрия в специальной дозировке и под лабораторным контролем в терапии пациентов с ОКСБП-ST</w:t>
      </w:r>
      <w:r>
        <w:t xml:space="preserve">, </w:t>
      </w:r>
      <w:r w:rsidRPr="003728DF">
        <w:t>железодефицитной анемией и высоким риском кровотечения.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Высокая частота тромботических осложнений у пациентов с ОКСБП-ST является основанием для обязательного определения степени риска развития неблагоприятных событий в ближайшее время (шкала TIMI)</w:t>
      </w:r>
      <w:r>
        <w:t xml:space="preserve">, </w:t>
      </w:r>
      <w:r w:rsidRPr="003728DF">
        <w:t>что имеет определяющее значение в решении вопроса о назначении антитромботической терапии НМГ данным больным. Кроме того</w:t>
      </w:r>
      <w:r>
        <w:t xml:space="preserve">, </w:t>
      </w:r>
      <w:r w:rsidRPr="003728DF">
        <w:t>высокая частота встречаемости железодефицитной анемии у пациентов с ОКСБП-ST диктует необходимость выявления и оценки факторов риска развития кровотечения (шкала CRUSADE)</w:t>
      </w:r>
      <w:r>
        <w:t xml:space="preserve">, </w:t>
      </w:r>
      <w:r w:rsidRPr="003728DF">
        <w:t>что определяет дальнейшую тактику ведения больного</w:t>
      </w:r>
      <w:r>
        <w:t xml:space="preserve">, </w:t>
      </w:r>
      <w:r w:rsidRPr="003728DF">
        <w:t>а также помогает решить вопрос назначения</w:t>
      </w:r>
      <w:r>
        <w:t xml:space="preserve">, </w:t>
      </w:r>
      <w:r w:rsidRPr="003728DF">
        <w:t>выбора и дозировки антикоагулянтов. При выявлении высокой вероятности развития неблагоприятных событий в ближайшее время (&gt; 4 баллов по шкале TIMI) и высокого риска кровотечения (от 41 до 50 баллов по шкале CRUSADE) у пациентов с ОКСБП-ST необходимо под строгим клиническим и лабораторным (тромбоциты</w:t>
      </w:r>
      <w:r>
        <w:t xml:space="preserve">, </w:t>
      </w:r>
      <w:r w:rsidRPr="003728DF">
        <w:t>анти-Ха-активность плазмы</w:t>
      </w:r>
      <w:r>
        <w:t xml:space="preserve">, </w:t>
      </w:r>
      <w:r w:rsidRPr="003728DF">
        <w:t>РФМК) контролем</w:t>
      </w:r>
      <w:r>
        <w:t xml:space="preserve">, </w:t>
      </w:r>
      <w:r w:rsidRPr="003728DF">
        <w:t>назначать антитромботическую терапию далтепарином натрия в зарегистрированной при данном состоянии дозировке (5 МЕ/кг внутривенно болюсно с последующим внутривенным введением 60 МЕ/кг каждые 12 часов в течение 5 суток)</w:t>
      </w:r>
      <w:r>
        <w:t xml:space="preserve">, </w:t>
      </w:r>
      <w:r w:rsidRPr="003728DF">
        <w:t>что улучшает прогноз этих больных. Негативное влияние железодефицитной анемии</w:t>
      </w:r>
      <w:r>
        <w:t xml:space="preserve">, </w:t>
      </w:r>
      <w:r w:rsidRPr="003728DF">
        <w:t>в том числе и ее легкой степени</w:t>
      </w:r>
      <w:r>
        <w:t xml:space="preserve">, </w:t>
      </w:r>
      <w:r w:rsidRPr="003728DF">
        <w:t>на тяжесть течения и прогноз ОКСБП-ST подтверждает целесообразность одновременной коррекции дефицита железа препаратом его двухвалентной соли в течение всего времени стационарного лечения (общая продолжительность курса не менее 4 недель). При ОКСБП-ST антитромботическая терапия далтепарином натрия не показана пациентам с низким риском смерти или развития инфаркта миокарда в ближайшее время (&lt;4 баллов по шкале TIMI)</w:t>
      </w:r>
      <w:r>
        <w:t xml:space="preserve">, </w:t>
      </w:r>
      <w:r w:rsidRPr="003728DF">
        <w:t>а также пациентам с очень высоким риском кровотечения (&gt;51 балла по шкале CRUSADE).</w:t>
      </w:r>
    </w:p>
    <w:p w:rsidR="00EC4FA4" w:rsidRPr="003728DF" w:rsidRDefault="00EC4FA4" w:rsidP="00EC4FA4">
      <w:pPr>
        <w:spacing w:before="120"/>
        <w:ind w:firstLine="567"/>
        <w:jc w:val="both"/>
      </w:pPr>
      <w:r w:rsidRPr="003728DF">
        <w:t>Кафедра клинической фармакологии</w:t>
      </w:r>
      <w:r>
        <w:t xml:space="preserve">, </w:t>
      </w:r>
      <w:r w:rsidRPr="003728DF">
        <w:t>фармакотерапии и скорой медицинской помощи Московского государственного медико-стоматологического университета.</w:t>
      </w:r>
    </w:p>
    <w:p w:rsidR="00EC4FA4" w:rsidRPr="00F54054" w:rsidRDefault="00EC4FA4" w:rsidP="00EC4FA4">
      <w:pPr>
        <w:spacing w:before="120"/>
        <w:jc w:val="center"/>
        <w:rPr>
          <w:b/>
          <w:sz w:val="28"/>
        </w:rPr>
      </w:pPr>
      <w:r w:rsidRPr="00F54054">
        <w:rPr>
          <w:b/>
          <w:sz w:val="28"/>
        </w:rPr>
        <w:t>Список литературы</w:t>
      </w:r>
    </w:p>
    <w:p w:rsidR="00EC4FA4" w:rsidRDefault="00EC4FA4" w:rsidP="00EC4FA4">
      <w:pPr>
        <w:spacing w:before="120"/>
        <w:ind w:firstLine="567"/>
        <w:jc w:val="both"/>
      </w:pPr>
      <w:r w:rsidRPr="003728DF">
        <w:t>Медицинская газета № 70 (7080) 15 сентября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FA4"/>
    <w:rsid w:val="001A35F6"/>
    <w:rsid w:val="003728DF"/>
    <w:rsid w:val="00501B2D"/>
    <w:rsid w:val="00672654"/>
    <w:rsid w:val="00811DD4"/>
    <w:rsid w:val="00885F2F"/>
    <w:rsid w:val="00A33F54"/>
    <w:rsid w:val="00EC4FA4"/>
    <w:rsid w:val="00F54054"/>
    <w:rsid w:val="00F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B021DE-BC50-4643-9CCE-60267037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Антитромботическая терапия: нужна осторожность</vt:lpstr>
    </vt:vector>
  </TitlesOfParts>
  <Company>Home</Company>
  <LinksUpToDate>false</LinksUpToDate>
  <CharactersWithSpaces>20668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Антитромботическая терапия: нужна осторожность</dc:title>
  <dc:subject/>
  <dc:creator>User</dc:creator>
  <cp:keywords/>
  <dc:description/>
  <cp:lastModifiedBy>admin</cp:lastModifiedBy>
  <cp:revision>2</cp:revision>
  <dcterms:created xsi:type="dcterms:W3CDTF">2014-02-20T07:07:00Z</dcterms:created>
  <dcterms:modified xsi:type="dcterms:W3CDTF">2014-02-20T07:07:00Z</dcterms:modified>
</cp:coreProperties>
</file>