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76" w:rsidRPr="00C96176" w:rsidRDefault="00C96176" w:rsidP="00C96176">
      <w:pPr>
        <w:spacing w:before="120"/>
        <w:jc w:val="center"/>
        <w:rPr>
          <w:b/>
          <w:bCs/>
          <w:sz w:val="32"/>
          <w:szCs w:val="32"/>
        </w:rPr>
      </w:pPr>
      <w:bookmarkStart w:id="0" w:name="balansowyj_metod_ocenki_|z"/>
      <w:bookmarkEnd w:id="0"/>
      <w:r w:rsidRPr="00C96176">
        <w:rPr>
          <w:b/>
          <w:bCs/>
          <w:sz w:val="32"/>
          <w:szCs w:val="32"/>
        </w:rPr>
        <w:t>Балансовый метод оценки ЭЗ</w:t>
      </w:r>
    </w:p>
    <w:p w:rsidR="00C96176" w:rsidRPr="00C96176" w:rsidRDefault="00C96176" w:rsidP="00C96176">
      <w:pPr>
        <w:spacing w:before="120"/>
        <w:ind w:firstLine="567"/>
        <w:jc w:val="both"/>
        <w:rPr>
          <w:sz w:val="28"/>
          <w:szCs w:val="28"/>
        </w:rPr>
      </w:pPr>
      <w:r w:rsidRPr="00C96176">
        <w:rPr>
          <w:sz w:val="28"/>
          <w:szCs w:val="28"/>
        </w:rPr>
        <w:t xml:space="preserve">Р.С. Штенгелов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Принципиальный смысл и формальный механизм его применения - раздельная оценка всех потенциальных составляющих баланса водоотбора: в первую очередь, естественных запасов и естественных ресурсов, а при наличии общих гидрогеологических предпосылок - и привлекаемых ресурсов. Они оцениваются в целом для месторождения (или другой расчетной площади), без определения той водозаборной системы, с помощью которой они могут быть извлечены. Таким образом, по сути это - "потенциальные" ЭЗ; система их отбора должна рассчитываться особо, какими-либо другими способами, которые мы рассмотрим позже.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Возникает вопрос - а для чего же нужен такой "неполноценный" метод ?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Во-первых, он вполне успешно может быть применен для региональных оценок ЭЗ,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Во-вторых, он очень продуктивен на ранних стадиях работ на месторождениях (поиски и оценка) для предварительной общей оценки потенциальных эксплуатационных возможностей, т.к. позволяет сравнить их с заявленной потребностью и решить, не нужно ли искать дополнительные площади.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Наконец, следует добавить, что во всех случаях балансовый контроль, балансовое "сопровождение" любых гидрогеологических расчетов при оценке ЭЗ чрезвычайно полезны и даже необходимы во избежание формальных ошибок и грубых промахов. </w:t>
      </w:r>
    </w:p>
    <w:p w:rsidR="00C96176" w:rsidRPr="00C96176" w:rsidRDefault="00C96176" w:rsidP="00C96176">
      <w:pPr>
        <w:spacing w:before="120"/>
        <w:jc w:val="center"/>
        <w:rPr>
          <w:b/>
          <w:bCs/>
          <w:sz w:val="28"/>
          <w:szCs w:val="28"/>
        </w:rPr>
      </w:pPr>
      <w:bookmarkStart w:id="1" w:name="4_1"/>
      <w:bookmarkEnd w:id="1"/>
      <w:r w:rsidRPr="00C96176">
        <w:rPr>
          <w:b/>
          <w:bCs/>
          <w:sz w:val="28"/>
          <w:szCs w:val="28"/>
        </w:rPr>
        <w:t xml:space="preserve">Оценка естественных запасов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Вспомним, что это объем воды, содержащейся в эксплуатируемом пласте в некоторой расчетной области (площадью</w:t>
      </w:r>
      <w:r w:rsidR="00F656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8.25pt">
            <v:imagedata r:id="rId4" o:title=""/>
          </v:shape>
        </w:pict>
      </w:r>
      <w:r w:rsidRPr="00C96176">
        <w:t>).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Рассмотрим в общем случае межпластовый водоносный горизонт, обладающий избыточным напором над кровлей </w:t>
      </w:r>
      <w:r w:rsidR="00F65647">
        <w:pict>
          <v:shape id="_x0000_i1026" type="#_x0000_t75" style="width:10.5pt;height:13.5pt">
            <v:imagedata r:id="rId5" o:title=""/>
          </v:shape>
        </w:pict>
      </w:r>
      <w:r w:rsidRPr="00C96176">
        <w:t xml:space="preserve"> (рис. 1).</w:t>
      </w:r>
    </w:p>
    <w:tbl>
      <w:tblPr>
        <w:tblW w:w="1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8"/>
      </w:tblGrid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F65647" w:rsidP="00C96176">
            <w:pPr>
              <w:spacing w:before="12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pict>
                <v:shape id="_x0000_i1027" type="#_x0000_t75" style="width:291pt;height:212.25pt">
                  <v:imagedata r:id="rId6" o:title=""/>
                </v:shape>
              </w:pict>
            </w:r>
          </w:p>
        </w:tc>
      </w:tr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C96176" w:rsidP="00C96176">
            <w:pPr>
              <w:spacing w:before="120"/>
              <w:ind w:firstLine="567"/>
              <w:jc w:val="both"/>
            </w:pPr>
            <w:r w:rsidRPr="00C96176">
              <w:t>Рис. 1. К оценке емкостных и упругих естественных запасов</w:t>
            </w:r>
          </w:p>
        </w:tc>
      </w:tr>
    </w:tbl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Очевидно, что полное количество УПРУГИХ запасов можно получить при полной сработке избыточного напора до кровли пласта по всей расчетной площади: 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28" type="#_x0000_t75" style="width:124.5pt;height:17.25pt">
            <v:imagedata r:id="rId7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При дальнейшем полном осушении пласта можно дополнительно получить ЕМКОСТНЫЕ запасы в количестве: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29" type="#_x0000_t75" style="width:60pt;height:13.5pt">
            <v:imagedata r:id="rId8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Следовательно, в целом полные естественные запасы составляют: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30" type="#_x0000_t75" style="width:95.25pt;height:16.5pt">
            <v:imagedata r:id="rId9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Если пласт ненапорный, то упругого слагаемого в этой формуле нет, только емкостная (гравитационная) составляющая </w:t>
      </w:r>
      <w:r w:rsidR="00F65647">
        <w:pict>
          <v:shape id="_x0000_i1031" type="#_x0000_t75" style="width:23.25pt;height:13.5pt">
            <v:imagedata r:id="rId10" o:title=""/>
          </v:shape>
        </w:pic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Это - потенциальные естественные запасы водоносного горизонта; реально же при водоотборе будет использована только некоторая их часть </w:t>
      </w:r>
      <w:r w:rsidR="00F65647">
        <w:pict>
          <v:shape id="_x0000_i1032" type="#_x0000_t75" style="width:15pt;height:11.25pt">
            <v:imagedata r:id="rId11" o:title=""/>
          </v:shape>
        </w:pict>
      </w:r>
      <w:r w:rsidRPr="00C96176">
        <w:t>, так как: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понижение уровня всегда ограничивается тем или иным допустимым значением, т.е. вместо </w:t>
      </w:r>
      <w:r w:rsidR="00F65647">
        <w:pict>
          <v:shape id="_x0000_i1033" type="#_x0000_t75" style="width:6.75pt;height:5.25pt">
            <v:imagedata r:id="rId12" o:title=""/>
          </v:shape>
        </w:pict>
      </w:r>
      <w:r w:rsidRPr="00C96176">
        <w:t>надо использовать</w:t>
      </w:r>
      <w:r w:rsidR="00F65647">
        <w:pict>
          <v:shape id="_x0000_i1034" type="#_x0000_t75" style="width:21pt;height:12.75pt">
            <v:imagedata r:id="rId13" o:title=""/>
          </v:shape>
        </w:pict>
      </w:r>
      <w:r w:rsidRPr="00C96176">
        <w:t>;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сама форма воронки имеет вид отнюдь не чемодана, поэтому среднее понижение по всей области депрессии заметно меньше, чем </w:t>
      </w:r>
      <w:r w:rsidR="00F65647">
        <w:pict>
          <v:shape id="_x0000_i1035" type="#_x0000_t75" style="width:21pt;height:12.75pt">
            <v:imagedata r:id="rId13" o:title=""/>
          </v:shape>
        </w:pict>
      </w:r>
      <w:r w:rsidRPr="00C96176">
        <w:t xml:space="preserve">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На практике для балансовых оценок применяют коэффициент использования (извлечения):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36" type="#_x0000_t75" style="width:52.5pt;height:13.5pt">
            <v:imagedata r:id="rId14" o:title=""/>
          </v:shape>
        </w:pict>
      </w:r>
      <w:r w:rsidR="00C96176" w:rsidRPr="00C96176">
        <w:t xml:space="preserve">, при этом обычно считают </w:t>
      </w:r>
      <w:r>
        <w:pict>
          <v:shape id="_x0000_i1037" type="#_x0000_t75" style="width:8.25pt;height:7.5pt">
            <v:imagedata r:id="rId15" o:title=""/>
          </v:shape>
        </w:pict>
      </w:r>
      <w:r w:rsidR="00C96176" w:rsidRPr="00C96176">
        <w:t xml:space="preserve">≈ 0.3 ÷ 0.5.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Более точно: принять какое-то среднее понижение уровня в пределах воронки; тогда </w:t>
      </w:r>
      <w:r w:rsidR="00F65647">
        <w:pict>
          <v:shape id="_x0000_i1038" type="#_x0000_t75" style="width:74.25pt;height:17.25pt">
            <v:imagedata r:id="rId16" o:title=""/>
          </v:shape>
        </w:pict>
      </w:r>
      <w:r w:rsidRPr="00C96176">
        <w:t xml:space="preserve"> где </w:t>
      </w:r>
      <w:r w:rsidR="00F65647">
        <w:pict>
          <v:shape id="_x0000_i1039" type="#_x0000_t75" style="width:6.75pt;height:8.25pt">
            <v:imagedata r:id="rId17" o:title=""/>
          </v:shape>
        </w:pict>
      </w:r>
      <w:r w:rsidRPr="00C96176">
        <w:t xml:space="preserve">- радиус воронки. Приближенно можно доказать, что при понижении в скважине </w:t>
      </w:r>
      <w:r w:rsidR="00F65647">
        <w:pict>
          <v:shape id="_x0000_i1040" type="#_x0000_t75" style="width:9.75pt;height:11.25pt">
            <v:imagedata r:id="rId18" o:title=""/>
          </v:shape>
        </w:pict>
      </w:r>
      <w:r w:rsidRPr="00C96176">
        <w:t xml:space="preserve"> и ее радиусе </w:t>
      </w:r>
      <w:r w:rsidR="00F65647">
        <w:pict>
          <v:shape id="_x0000_i1041" type="#_x0000_t75" style="width:7.5pt;height:8.25pt">
            <v:imagedata r:id="rId19" o:title=""/>
          </v:shape>
        </w:pict>
      </w:r>
      <w:r w:rsidRPr="00C96176">
        <w:t xml:space="preserve"> среднее понижение на площади депрессионной воронки составляет: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42" type="#_x0000_t75" style="width:110.25pt;height:43.5pt">
            <v:imagedata r:id="rId20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Поскольку обычно </w:t>
      </w:r>
      <w:r w:rsidR="00F65647">
        <w:pict>
          <v:shape id="_x0000_i1043" type="#_x0000_t75" style="width:24pt;height:7.5pt">
            <v:imagedata r:id="rId21" o:title=""/>
          </v:shape>
        </w:pict>
      </w:r>
      <w:r w:rsidRPr="00C96176">
        <w:t>×10</w:t>
      </w:r>
      <w:r w:rsidRPr="00C96176">
        <w:rPr>
          <w:vertAlign w:val="superscript"/>
        </w:rPr>
        <w:t>2-3</w:t>
      </w:r>
      <w:r w:rsidRPr="00C96176">
        <w:t xml:space="preserve"> м, </w:t>
      </w:r>
      <w:r w:rsidR="00F65647">
        <w:pict>
          <v:shape id="_x0000_i1044" type="#_x0000_t75" style="width:27pt;height:9pt">
            <v:imagedata r:id="rId22" o:title=""/>
          </v:shape>
        </w:pict>
      </w:r>
      <w:r w:rsidRPr="00C96176">
        <w:t>×10</w:t>
      </w:r>
      <w:r w:rsidRPr="00C96176">
        <w:rPr>
          <w:vertAlign w:val="superscript"/>
        </w:rPr>
        <w:t>(-1)</w:t>
      </w:r>
      <w:r w:rsidRPr="00C96176">
        <w:t xml:space="preserve"> м, то </w:t>
      </w:r>
      <w:r w:rsidR="00F65647">
        <w:pict>
          <v:shape id="_x0000_i1045" type="#_x0000_t75" style="width:21.75pt;height:28.5pt">
            <v:imagedata r:id="rId23" o:title=""/>
          </v:shape>
        </w:pict>
      </w:r>
      <w:r w:rsidRPr="00C96176">
        <w:t xml:space="preserve"> ≈ 3 - 4, откуда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46" type="#_x0000_t75" style="width:166.5pt;height:24pt">
            <v:imagedata r:id="rId24" o:title=""/>
          </v:shape>
        </w:pict>
      </w:r>
      <w:r w:rsidR="00C96176" w:rsidRPr="00C96176">
        <w:t xml:space="preserve">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Таким образом, при сосредоточенном водоотборе реальная величина коэффициента использования естественных запасов составляет от 0.1 - 0.15 (для напорных условий, где</w:t>
      </w:r>
      <w:r w:rsidR="00F65647">
        <w:pict>
          <v:shape id="_x0000_i1047" type="#_x0000_t75" style="width:50.25pt;height:18.75pt">
            <v:imagedata r:id="rId25" o:title=""/>
          </v:shape>
        </w:pict>
      </w:r>
      <w:r w:rsidRPr="00C96176">
        <w:t>) до 0.05 - 0.1 (для грунтовых горизонтов,</w:t>
      </w:r>
      <w:r w:rsidR="00F65647">
        <w:pict>
          <v:shape id="_x0000_i1048" type="#_x0000_t75" style="width:87pt;height:18pt">
            <v:imagedata r:id="rId26" o:title=""/>
          </v:shape>
        </w:pict>
      </w:r>
      <w:r w:rsidRPr="00C96176">
        <w:t xml:space="preserve">).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Как добиться увеличения </w:t>
      </w:r>
      <w:r w:rsidR="00F65647">
        <w:pict>
          <v:shape id="_x0000_i1049" type="#_x0000_t75" style="width:8.25pt;height:7.5pt">
            <v:imagedata r:id="rId15" o:title=""/>
          </v:shape>
        </w:pict>
      </w:r>
      <w:r w:rsidRPr="00C96176">
        <w:t xml:space="preserve">? Максимально возможным рассредоточением водозабора по площади.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Итак, для балансовой оценки потенциальных естественных запасов месторождения нужно: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оценить характер водоотдачи в пределах ожидаемой величины понижений, исходя из условий залегания водоносного горизонта и возможной глубины депрессионной воронки;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задаться значениями </w:t>
      </w:r>
      <w:r w:rsidR="00F65647">
        <w:pict>
          <v:shape id="_x0000_i1050" type="#_x0000_t75" style="width:88.5pt;height:15pt">
            <v:imagedata r:id="rId27" o:title=""/>
          </v:shape>
        </w:pict>
      </w:r>
      <w:r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Из этих величин параметром является водоотдача; оценивается обычно трудно и ненадежно: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лабораторные методы: точечные определения, невысокая достоверность экстраполяции и интерполяции на больших площадях месторождений;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откачки (кустовые!): определяется уровне(пьезо)проводность; обычно получаются заниженные величины емкостных оценок, так как из-за "разнокалиберности" порово-трещинного пространства реальная величина водоотдачи проявляется значительно дольше обычной длительности опытных опробований;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режимные наблюдения: в принципе лучше, так как наблюдаются и обрабатываются длительные периоды относительно медленного природного нестационарного режима.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Напомнить: в курсе "Гидрогеодинамика" рассматривались вопросы оценки гидрогеодинамических параметров (включая водоотдачу) по данным опытно-фильтрационных (режимных) наблюдений с использованием классической методики Г.Н.Каменского - решение конечно-разностного уравнения фильтрации.</w:t>
      </w:r>
    </w:p>
    <w:tbl>
      <w:tblPr>
        <w:tblW w:w="3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68"/>
      </w:tblGrid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F65647" w:rsidP="00C96176">
            <w:pPr>
              <w:spacing w:before="12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pict>
                <v:shape id="_x0000_i1051" type="#_x0000_t75" style="width:418.5pt;height:276.75pt">
                  <v:imagedata r:id="rId28" o:title=""/>
                </v:shape>
              </w:pict>
            </w:r>
          </w:p>
        </w:tc>
      </w:tr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C96176" w:rsidP="00C96176">
            <w:pPr>
              <w:spacing w:before="120"/>
              <w:ind w:firstLine="567"/>
              <w:jc w:val="both"/>
            </w:pPr>
            <w:r w:rsidRPr="00C96176">
              <w:t>Рис. 2. К обоснованию методики оценки водоотдачи по данным режимных наблюдений на створе скважин в линейном потоке</w:t>
            </w:r>
          </w:p>
        </w:tc>
      </w:tr>
    </w:tbl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 ПЕРИОД для расчета - "независимый спад", т.е. пoлное отсутствие питания (истощение горизонта)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СТВОР из 3-х скважин по линии тока (при квазилинейной структуре потока - рис. 2.2) или "конверт" из 5-и скважин, если поток существенно плановый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Баланс расчетного блока 2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Приток :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- расход из блока 1 (</w:t>
      </w:r>
      <w:r w:rsidR="00F65647">
        <w:pict>
          <v:shape id="_x0000_i1052" type="#_x0000_t75" style="width:17.25pt;height:7.5pt">
            <v:imagedata r:id="rId29" o:title=""/>
          </v:shape>
        </w:pict>
      </w:r>
      <w:r w:rsidRPr="00C96176">
        <w:t>)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уменьшение количества воды в блоке на величину </w:t>
      </w:r>
      <w:r w:rsidR="00F65647">
        <w:pict>
          <v:shape id="_x0000_i1053" type="#_x0000_t75" style="width:18pt;height:10.5pt">
            <v:imagedata r:id="rId30" o:title=""/>
          </v:shape>
        </w:pict>
      </w:r>
      <w:r w:rsidRPr="00C96176">
        <w:t xml:space="preserve"> за время </w:t>
      </w:r>
      <w:r w:rsidR="00F65647">
        <w:pict>
          <v:shape id="_x0000_i1054" type="#_x0000_t75" style="width:9.75pt;height:7.5pt">
            <v:imagedata r:id="rId31" o:title=""/>
          </v:shape>
        </w:pict>
      </w:r>
      <w:r w:rsidRPr="00C96176">
        <w:t xml:space="preserve"> ( в связи со спадом уровня от </w:t>
      </w:r>
      <w:r w:rsidR="00F65647">
        <w:pict>
          <v:shape id="_x0000_i1055" type="#_x0000_t75" style="width:20.25pt;height:12.75pt">
            <v:imagedata r:id="rId32" o:title=""/>
          </v:shape>
        </w:pict>
      </w:r>
      <w:r w:rsidRPr="00C96176">
        <w:t xml:space="preserve"> до </w:t>
      </w:r>
      <w:r w:rsidR="00F65647">
        <w:pict>
          <v:shape id="_x0000_i1056" type="#_x0000_t75" style="width:20.25pt;height:12.75pt">
            <v:imagedata r:id="rId33" o:title=""/>
          </v:shape>
        </w:pict>
      </w:r>
      <w:r w:rsidRPr="00C96176">
        <w:t xml:space="preserve">)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Отток : - расход в блок 3 (</w:t>
      </w:r>
      <w:r w:rsidR="00F65647">
        <w:pict>
          <v:shape id="_x0000_i1057" type="#_x0000_t75" style="width:22.5pt;height:8.25pt">
            <v:imagedata r:id="rId34" o:title=""/>
          </v:shape>
        </w:pict>
      </w:r>
      <w:r w:rsidRPr="00C96176">
        <w:t>)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Балансовое уравнение блока 2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58" type="#_x0000_t75" style="width:175.5pt;height:52.5pt">
            <v:imagedata r:id="rId35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Отсюда : </w:t>
      </w:r>
      <w:r w:rsidR="00F65647">
        <w:pict>
          <v:shape id="_x0000_i1059" type="#_x0000_t75" style="width:94.5pt;height:28.5pt">
            <v:imagedata r:id="rId36" o:title=""/>
          </v:shape>
        </w:pict>
      </w:r>
      <w:r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Как определить </w:t>
      </w:r>
      <w:r w:rsidR="00F65647">
        <w:pict>
          <v:shape id="_x0000_i1060" type="#_x0000_t75" style="width:45pt;height:8.25pt">
            <v:imagedata r:id="rId37" o:title=""/>
          </v:shape>
        </w:pict>
      </w:r>
      <w:r w:rsidRPr="00C96176">
        <w:t>? Используется закон Дарси для линейного потока шириной по фронту 1 м: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61" type="#_x0000_t75" style="width:292.5pt;height:27.75pt">
            <v:imagedata r:id="rId38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Наверняка возник вопрос: на какой момент времени брать </w:t>
      </w:r>
      <w:r w:rsidR="00F65647">
        <w:pict>
          <v:shape id="_x0000_i1062" type="#_x0000_t75" style="width:21.75pt;height:9.75pt">
            <v:imagedata r:id="rId39" o:title=""/>
          </v:shape>
        </w:pict>
      </w:r>
      <w:r w:rsidRPr="00C96176">
        <w:t xml:space="preserve"> - ведь они меняются за период </w:t>
      </w:r>
      <w:r w:rsidR="00F65647">
        <w:pict>
          <v:shape id="_x0000_i1063" type="#_x0000_t75" style="width:9.75pt;height:7.5pt">
            <v:imagedata r:id="rId31" o:title=""/>
          </v:shape>
        </w:pict>
      </w:r>
      <w:r w:rsidRPr="00C96176">
        <w:t xml:space="preserve">? Скорее всего, средние значения за расчетный период - например, напор для блока 2: </w:t>
      </w:r>
      <w:r w:rsidR="00F65647">
        <w:pict>
          <v:shape id="_x0000_i1064" type="#_x0000_t75" style="width:83.25pt;height:25.5pt">
            <v:imagedata r:id="rId40" o:title=""/>
          </v:shape>
        </w:pict>
      </w:r>
      <w:r w:rsidRPr="00C96176">
        <w:t xml:space="preserve">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Очевидные недостатки этого метода, заметно осложняющие его практическое применение: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Водоотдача вычисляется из невязки расходов, а она, как правило, невелика, поэтому результат очень чувствителен к погрешностям задания значений </w:t>
      </w:r>
      <w:r w:rsidR="00F65647">
        <w:pict>
          <v:shape id="_x0000_i1065" type="#_x0000_t75" style="width:9pt;height:8.25pt">
            <v:imagedata r:id="rId41" o:title=""/>
          </v:shape>
        </w:pict>
      </w:r>
      <w:r w:rsidRPr="00C96176">
        <w:t xml:space="preserve">, которые, увы, обычно велики. За счет этого могут получаться даже абсурдные результаты - отрицательные или огромные значения </w:t>
      </w:r>
      <w:r w:rsidR="00F65647">
        <w:pict>
          <v:shape id="_x0000_i1066" type="#_x0000_t75" style="width:6pt;height:7.5pt">
            <v:imagedata r:id="rId42" o:title=""/>
          </v:shape>
        </w:pict>
      </w:r>
      <w:r w:rsidRPr="00C96176">
        <w:t>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Вообще, этот метод применим, как правило, лишь в случае безнапорных потоков (гравитационная, т.е. большая, величина водоотдачи); в случае упругого режима (напорные потоки) очень мала </w:t>
      </w:r>
      <w:r w:rsidR="00F65647">
        <w:pict>
          <v:shape id="_x0000_i1067" type="#_x0000_t75" style="width:17.25pt;height:10.5pt">
            <v:imagedata r:id="rId43" o:title=""/>
          </v:shape>
        </w:pict>
      </w:r>
      <w:r w:rsidRPr="00C96176">
        <w:t>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- Наконец, необходима уверенность в отсутствии питания - иначе балансовое уравнение неверно.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Чтобы уверенно выделить периоды именно "независимого спада", проводят специальный анализ режимных наблюдений (рис. 2.3), основанный на использовании уравнения Майе-Буссинеска для периода спада уровня:</w:t>
      </w:r>
    </w:p>
    <w:p w:rsidR="00C96176" w:rsidRPr="00C96176" w:rsidRDefault="00F65647" w:rsidP="00C96176">
      <w:pPr>
        <w:spacing w:before="120"/>
        <w:ind w:firstLine="567"/>
        <w:jc w:val="both"/>
      </w:pPr>
      <w:r>
        <w:pict>
          <v:shape id="_x0000_i1068" type="#_x0000_t75" style="width:84pt;height:29.25pt">
            <v:imagedata r:id="rId44" o:title=""/>
          </v:shape>
        </w:pict>
      </w:r>
      <w:r w:rsidR="00C96176" w:rsidRPr="00C96176">
        <w:t xml:space="preserve">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Это - прямая в координатах </w:t>
      </w:r>
      <w:r w:rsidR="00F65647">
        <w:pict>
          <v:shape id="_x0000_i1069" type="#_x0000_t75" style="width:36pt;height:8.25pt">
            <v:imagedata r:id="rId45" o:title=""/>
          </v:shape>
        </w:pict>
      </w:r>
      <w:r w:rsidRPr="00C96176">
        <w:t xml:space="preserve"> со свободным членом </w:t>
      </w:r>
      <w:r w:rsidR="00F65647">
        <w:pict>
          <v:shape id="_x0000_i1070" type="#_x0000_t75" style="width:24.75pt;height:11.25pt">
            <v:imagedata r:id="rId46" o:title=""/>
          </v:shape>
        </w:pict>
      </w:r>
      <w:r w:rsidRPr="00C96176">
        <w:t xml:space="preserve"> и угловым коэффициентом </w:t>
      </w:r>
      <w:r w:rsidR="00F65647">
        <w:pict>
          <v:shape id="_x0000_i1071" type="#_x0000_t75" style="width:5.25pt;height:5.25pt">
            <v:imagedata r:id="rId47" o:title=""/>
          </v:shape>
        </w:pict>
      </w:r>
      <w:r w:rsidRPr="00C96176">
        <w:t xml:space="preserve"> (т.н. "коэффициент истощения").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Напоры </w:t>
      </w:r>
      <w:r w:rsidR="00F65647">
        <w:pict>
          <v:shape id="_x0000_i1072" type="#_x0000_t75" style="width:9pt;height:8.25pt">
            <v:imagedata r:id="rId48" o:title=""/>
          </v:shape>
        </w:pict>
      </w:r>
      <w:r w:rsidRPr="00C96176">
        <w:t xml:space="preserve">должны быть приведены к плоскости сравнения, располагающейся на уровне "истощающей" дрены.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Коэффициент истощения </w:t>
      </w:r>
      <w:r w:rsidR="00F65647">
        <w:pict>
          <v:shape id="_x0000_i1073" type="#_x0000_t75" style="width:58.5pt;height:11.25pt">
            <v:imagedata r:id="rId49" o:title=""/>
          </v:shape>
        </w:pict>
      </w:r>
      <w:r w:rsidRPr="00C96176">
        <w:t xml:space="preserve"> здесь </w:t>
      </w:r>
      <w:r w:rsidR="00F65647">
        <w:pict>
          <v:shape id="_x0000_i1074" type="#_x0000_t75" style="width:5.25pt;height:5.25pt">
            <v:imagedata r:id="rId50" o:title=""/>
          </v:shape>
        </w:pict>
      </w:r>
      <w:r w:rsidRPr="00C96176">
        <w:t xml:space="preserve">- уровнепроводность, </w:t>
      </w:r>
      <w:r w:rsidR="00F65647">
        <w:pict>
          <v:shape id="_x0000_i1075" type="#_x0000_t75" style="width:9.75pt;height:11.25pt">
            <v:imagedata r:id="rId51" o:title=""/>
          </v:shape>
        </w:pict>
      </w:r>
      <w:r w:rsidRPr="00C96176">
        <w:t xml:space="preserve"> - размер истощающегося бассейна стока по линии тока от водораздела до дрены.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Часто применяют зависимость </w:t>
      </w:r>
      <w:r w:rsidR="00F65647">
        <w:pict>
          <v:shape id="_x0000_i1076" type="#_x0000_t75" style="width:39pt;height:27.75pt">
            <v:imagedata r:id="rId52" o:title=""/>
          </v:shape>
        </w:pict>
      </w:r>
      <w:r w:rsidRPr="00C96176">
        <w:t xml:space="preserve">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Если проанализировать длинный режимный ряд в таких координатах (рис. 2.4), то на нем хорошо видны прямолинейные участки, имеющие максимальную крутизну - это и есть периоды "независимого спада". Остальные, более пологие участки спада уровней, видимо, еще происходят на фоне слабеющего питания (так сказать, "зависимый спад").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Итак, по найденным участкам "независимого спада" можно пытаться определить водоотдачу по рассмотренной методике Г.Н.Каменского; полезно также оценить величину коэффициента истощения </w:t>
      </w:r>
      <w:r w:rsidR="00F65647">
        <w:pict>
          <v:shape id="_x0000_i1077" type="#_x0000_t75" style="width:5.25pt;height:5.25pt">
            <v:imagedata r:id="rId47" o:title=""/>
          </v:shape>
        </w:pict>
      </w:r>
      <w:r w:rsidRPr="00C96176">
        <w:t>.</w:t>
      </w:r>
    </w:p>
    <w:tbl>
      <w:tblPr>
        <w:tblW w:w="3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3"/>
      </w:tblGrid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F65647" w:rsidP="00C96176">
            <w:pPr>
              <w:spacing w:before="12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pict>
                <v:shape id="_x0000_i1078" type="#_x0000_t75" style="width:239.25pt;height:212.25pt">
                  <v:imagedata r:id="rId53" o:title=""/>
                </v:shape>
              </w:pict>
            </w:r>
          </w:p>
        </w:tc>
      </w:tr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C96176" w:rsidP="00C96176">
            <w:pPr>
              <w:spacing w:before="120"/>
              <w:ind w:firstLine="567"/>
              <w:jc w:val="both"/>
            </w:pPr>
            <w:r w:rsidRPr="00C96176">
              <w:t>Рис. 3. Участок независимого спада уровня на графике режимных наблюдений</w:t>
            </w:r>
          </w:p>
        </w:tc>
      </w:tr>
    </w:tbl>
    <w:p w:rsidR="00C96176" w:rsidRPr="00C96176" w:rsidRDefault="00C96176" w:rsidP="00C96176">
      <w:pPr>
        <w:spacing w:before="120"/>
        <w:ind w:firstLine="567"/>
        <w:jc w:val="both"/>
        <w:rPr>
          <w:vanish/>
        </w:rPr>
      </w:pPr>
    </w:p>
    <w:tbl>
      <w:tblPr>
        <w:tblW w:w="3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8"/>
      </w:tblGrid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F65647" w:rsidP="00C96176">
            <w:pPr>
              <w:spacing w:before="12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pict>
                <v:shape id="_x0000_i1079" type="#_x0000_t75" style="width:397.5pt;height:189pt">
                  <v:imagedata r:id="rId54" o:title=""/>
                </v:shape>
              </w:pict>
            </w:r>
          </w:p>
        </w:tc>
      </w:tr>
      <w:tr w:rsidR="00C96176" w:rsidRPr="00C96176" w:rsidTr="00FE413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96176" w:rsidRPr="00C96176" w:rsidRDefault="00C96176" w:rsidP="00C96176">
            <w:pPr>
              <w:spacing w:before="120"/>
              <w:ind w:firstLine="567"/>
              <w:jc w:val="both"/>
            </w:pPr>
            <w:r w:rsidRPr="00C96176">
              <w:t>Рис. 4. Участки независимого спада на графике уровенного режима (скв.N 48, режимный пост "Швакино", Архангельская область)</w:t>
            </w:r>
          </w:p>
        </w:tc>
      </w:tr>
    </w:tbl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 В заключение - о роли (относительной значимости) естественных запасов в обеспечении эксплуатационного водоотбора.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 xml:space="preserve">Пример: Московская область - эксплуатируются несколько межпластовых водоносных горизонтов в карбонатных отложениях преимущественно средне-верхнекаменноугольного возраста. Расчетная площадь </w:t>
      </w:r>
      <w:r w:rsidR="00F65647">
        <w:pict>
          <v:shape id="_x0000_i1080" type="#_x0000_t75" style="width:7.5pt;height:8.25pt">
            <v:imagedata r:id="rId4" o:title=""/>
          </v:shape>
        </w:pict>
      </w:r>
      <w:r w:rsidRPr="00C96176">
        <w:t>около 60 тыс.кв.км (6×10</w:t>
      </w:r>
      <w:r w:rsidRPr="00C96176">
        <w:rPr>
          <w:vertAlign w:val="superscript"/>
        </w:rPr>
        <w:t>10</w:t>
      </w:r>
      <w:r w:rsidRPr="00C96176">
        <w:t xml:space="preserve"> кв.м). Упругая водоотдача порядка </w:t>
      </w:r>
      <w:r w:rsidR="00F65647">
        <w:pict>
          <v:shape id="_x0000_i1081" type="#_x0000_t75" style="width:10.5pt;height:12.75pt">
            <v:imagedata r:id="rId55" o:title=""/>
          </v:shape>
        </w:pict>
      </w:r>
      <w:r w:rsidRPr="00C96176">
        <w:t>≈ 5×10</w:t>
      </w:r>
      <w:r w:rsidRPr="00C96176">
        <w:rPr>
          <w:vertAlign w:val="superscript"/>
        </w:rPr>
        <w:t>-4</w:t>
      </w:r>
      <w:r w:rsidRPr="00C96176">
        <w:t xml:space="preserve">. Приняв среднее по области понижение </w:t>
      </w:r>
      <w:r w:rsidR="00F65647">
        <w:pict>
          <v:shape id="_x0000_i1082" type="#_x0000_t75" style="width:26.25pt;height:13.5pt">
            <v:imagedata r:id="rId56" o:title=""/>
          </v:shape>
        </w:pict>
      </w:r>
      <w:r w:rsidRPr="00C96176">
        <w:t xml:space="preserve">10 м (скорее всего, явное преувеличение), получим потенциальный объем упругих запасов для одного из горизонтов </w:t>
      </w:r>
      <w:r w:rsidR="00F65647">
        <w:pict>
          <v:shape id="_x0000_i1083" type="#_x0000_t75" style="width:83.25pt;height:15.75pt">
            <v:imagedata r:id="rId57" o:title=""/>
          </v:shape>
        </w:pict>
      </w:r>
      <w:r w:rsidRPr="00C96176">
        <w:t>3×10</w:t>
      </w:r>
      <w:r w:rsidRPr="00C96176">
        <w:rPr>
          <w:vertAlign w:val="superscript"/>
        </w:rPr>
        <w:t>8</w:t>
      </w:r>
      <w:r w:rsidRPr="00C96176">
        <w:t xml:space="preserve"> куб.м. Современный водоотбор в пределах области составляет около 3×10</w:t>
      </w:r>
      <w:r w:rsidRPr="00C96176">
        <w:rPr>
          <w:vertAlign w:val="superscript"/>
        </w:rPr>
        <w:t>6</w:t>
      </w:r>
      <w:r w:rsidRPr="00C96176">
        <w:t xml:space="preserve"> куб.м/сут, т.е. упругих запасов одного горизонта хватило бы всего на 100 суток, а всей каменноугольной водоносной системы (6-8 горизонтов) - максимум на 2 года. </w:t>
      </w:r>
    </w:p>
    <w:p w:rsidR="00C96176" w:rsidRPr="00C96176" w:rsidRDefault="00C96176" w:rsidP="00C96176">
      <w:pPr>
        <w:spacing w:before="120"/>
        <w:ind w:firstLine="567"/>
        <w:jc w:val="both"/>
      </w:pPr>
      <w:r w:rsidRPr="00C96176">
        <w:t>Подобного рода балансовые расчеты практически всегда показывают, что сколько-нибудь крупный водоотбор лишь в небольшой своей части может быть обеспечен естественными запасами. Как правило, при длительном водоотборе основное значение имеют другие источники формирования эксплуатационных запасов, имеющие "ресурсную" природу, т.е. способные к возобновлению.</w:t>
      </w:r>
    </w:p>
    <w:p w:rsidR="00C96176" w:rsidRPr="00C96176" w:rsidRDefault="00C96176" w:rsidP="00C96176">
      <w:pPr>
        <w:spacing w:before="120"/>
        <w:ind w:firstLine="567"/>
        <w:jc w:val="both"/>
      </w:pPr>
      <w:bookmarkStart w:id="2" w:name="_GoBack"/>
      <w:bookmarkEnd w:id="2"/>
    </w:p>
    <w:sectPr w:rsidR="00C96176" w:rsidRPr="00C96176" w:rsidSect="00C96176">
      <w:pgSz w:w="11907" w:h="16838"/>
      <w:pgMar w:top="1134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176"/>
    <w:rsid w:val="004A25AF"/>
    <w:rsid w:val="009370B9"/>
    <w:rsid w:val="00AD2050"/>
    <w:rsid w:val="00C96176"/>
    <w:rsid w:val="00F65647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  <w14:defaultImageDpi w14:val="0"/>
  <w15:docId w15:val="{23D22ADC-8B90-4724-A2E2-1EED5C2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76"/>
    <w:pPr>
      <w:spacing w:after="0" w:line="240" w:lineRule="auto"/>
    </w:pPr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C9617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C9617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4">
    <w:name w:val="Hyperlink"/>
    <w:basedOn w:val="a0"/>
    <w:uiPriority w:val="99"/>
    <w:rsid w:val="00C96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5283</Words>
  <Characters>3012</Characters>
  <Application>Microsoft Office Word</Application>
  <DocSecurity>0</DocSecurity>
  <Lines>25</Lines>
  <Paragraphs>16</Paragraphs>
  <ScaleCrop>false</ScaleCrop>
  <Company>Home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Балансовый метод оценки ЭЗ</dc:title>
  <dc:subject/>
  <dc:creator>User</dc:creator>
  <cp:keywords/>
  <dc:description/>
  <cp:lastModifiedBy>admin</cp:lastModifiedBy>
  <cp:revision>2</cp:revision>
  <dcterms:created xsi:type="dcterms:W3CDTF">2014-01-25T16:19:00Z</dcterms:created>
  <dcterms:modified xsi:type="dcterms:W3CDTF">2014-01-25T16:19:00Z</dcterms:modified>
</cp:coreProperties>
</file>