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E66" w:rsidRPr="00F23A33" w:rsidRDefault="005C6E66" w:rsidP="005C6E66">
      <w:pPr>
        <w:spacing w:before="120"/>
        <w:jc w:val="center"/>
        <w:rPr>
          <w:b/>
          <w:bCs/>
          <w:sz w:val="32"/>
          <w:szCs w:val="32"/>
        </w:rPr>
      </w:pPr>
      <w:r w:rsidRPr="00F23A33">
        <w:rPr>
          <w:b/>
          <w:bCs/>
          <w:sz w:val="32"/>
          <w:szCs w:val="32"/>
        </w:rPr>
        <w:t>Центры нефтедобычи шельфов Северо-Запада Европы</w:t>
      </w:r>
    </w:p>
    <w:p w:rsidR="005C6E66" w:rsidRPr="00F23A33" w:rsidRDefault="005C6E66" w:rsidP="005C6E66">
      <w:pPr>
        <w:spacing w:before="120"/>
        <w:jc w:val="center"/>
        <w:rPr>
          <w:sz w:val="28"/>
          <w:szCs w:val="28"/>
        </w:rPr>
      </w:pPr>
      <w:r w:rsidRPr="00F23A33">
        <w:rPr>
          <w:sz w:val="28"/>
          <w:szCs w:val="28"/>
        </w:rPr>
        <w:t>М.Н. Григорьев, Е.Д. Даниэль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Континентальный шельф Северо-Западной Европы, включающий Северное, Норвежское, Ирландское моря и северо-восточную Атлантику - регион с более чем тридцатилетней историей нефтедобычи. Наиболее освоен шельф Северного моря, в пределах которого в соответствующих национальных секторах ведут добычу Великобритания, Норвегия, Дания, Нидерланды и Германия. В процессе освоения шельфа на каждом этапе решались технологические и правовые задачи в сложных для проведения работ разнообразных нефтегазоносных областях. Особенности развития отдельных нефтегазовых проектов, их интеграции с формированием устойчивых транспортных систем доставки сырья к береговой инфраструктуре переработки или дальнейшего транспорта, освоение пограничных месторождений в областях, где проходят линии делимитации национальных секторов, и многие другие аспекты стимулировали разработку действенных и эффективных схем технологических и правовых решений, в значительной мере обеспечивших энергетическую безопасность стран Западной Европы. Анализ опыта развития нефтедобычи региона полезен для выработки решений на современном этапе развития нефтедобычи в России, где вопрос о развертывании шельфовых работ становится все более актуальным.</w:t>
      </w:r>
    </w:p>
    <w:p w:rsidR="005C6E66" w:rsidRPr="00F23A33" w:rsidRDefault="005C6E66" w:rsidP="005C6E66">
      <w:pPr>
        <w:spacing w:before="120"/>
        <w:jc w:val="center"/>
        <w:rPr>
          <w:b/>
          <w:bCs/>
          <w:sz w:val="28"/>
          <w:szCs w:val="28"/>
        </w:rPr>
      </w:pPr>
      <w:r w:rsidRPr="00F23A33">
        <w:rPr>
          <w:b/>
          <w:bCs/>
          <w:sz w:val="28"/>
          <w:szCs w:val="28"/>
        </w:rPr>
        <w:t>История освоения и современное состояние добычи нефти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Открытие нефтяных месторождений в Северном море началось с открытия норвежского месторождения Balder в 1967 г., однако значимыми для промышленного освоения стали месторождения Ekofisk на юге норвежского сектора и Forties (Великобритания), открытые соответственно в 1969 и 1970 г. Именно с этими месторождениями связывается начало добычи нефти в политически стабильном регионе, в значительной мере обеспечившем на 30 лет энергетическую безопасность как близких географически стран Западной Европы, так и США. Кроме Великобритании и Норвегии, основных стран-поставщиков нефти из региона, добычу ведут Дания, Нидерланды и Германия, в 1987 г. начавшая</w:t>
      </w:r>
      <w:r>
        <w:t xml:space="preserve"> </w:t>
      </w:r>
      <w:r w:rsidRPr="005A3452">
        <w:t>разработку единственного месторождения Mittelplate.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К настоящему времени во всех странах региона, кроме Дании, уже была достигнута максимальная добыча (рис. 1) и наступил ее спад. Последний обусловлен преимущественной зрелостью месторождений, применением технологий, которые ведут к более быстрому истощению залежей, и увеличением объема требуемых инвестиций вследствие перемещения проектов в удаленные и труднодоступные районы [1]. К таким проектам относятся месторождения Северной Атлантики к западу от Шетландских островов, разра</w:t>
      </w:r>
      <w:r>
        <w:t xml:space="preserve">ботка </w:t>
      </w:r>
      <w:r w:rsidRPr="005A3452">
        <w:t xml:space="preserve">которых началась в конце 90-х годов прошлого века. Норвегия ведет добычу в основном в Северном море и в меньшей степени - в Норвежском. Существенный рост добычи здесь наблюдался с 80-х до середины 90-х годов, после чего она </w:t>
      </w:r>
      <w:r>
        <w:t xml:space="preserve"> </w:t>
      </w:r>
      <w:r w:rsidRPr="005A3452">
        <w:t>стабилизировалась на одном уровне. Планы увеличения добычи нефти Норвегия связывает с вовлечением в разработку мелких месторождений, сопровождающих крупные, использованием имеющейся инфраструктуры. В Великобритании в освоении находятся нефтяные месторождения, расположенные на всех окружающих ее шельфах. Начало положили месторождения Северного моря. По мере падения добычи в разработку вовлекались месторождения Ирландского моря, затем северо-восточной Атлантики, к западу от Шетландских островов. Дания в последние 6 лет поддерживает добычу за счет введения в разработку новых месторождений, в числе которых месторождение Cecile, имеющее значительные доказанные перспективы освоения. В стадии развития находятся еще два месторождения, что обеспечит рост добычи. Нидерланды достигли наивысшего уровня добычи в 1986 г., после чего она устойчиво снижается.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Основные месторождения нефти расположены в Северном море в зоне делимитации шельфовых зон Великобритании и Норвегии. Их освоение потребовало объединения усилий обеих стран. Нефтедобыча на континентальном шельфе Северного моря в пограничных между секторами районах регламентируется межправительственными соглашениями. Первым было соглашение между Великобританией и Норвегией от 22 мая 1973 г. с дополнениями от 27 июля 1994 г. о транспортировании нефти по трубопроводу с норвежского месторождения Ekofisk и близлежащих районов на территорию Великобритании</w:t>
      </w:r>
      <w:r w:rsidRPr="005A3452">
        <w:rPr>
          <w:lang w:val="en-US"/>
        </w:rPr>
        <w:t xml:space="preserve"> (Agreement... relating to the transmission of petroleum by pipeline from the Ekofisk field and neighbouring areas to the United Kingdom). </w:t>
      </w:r>
      <w:r w:rsidRPr="005A3452">
        <w:t>В дальнейшем странам потребовалось выработать новые соглашения, касающиеся транспортной инфраструктуры, связывающей объекты их шельфовых секторов, находящихся под правительственной юрисдикцией соответствующих сторон. В 1998 г. было подписано вступившее в силу в 2000 г. рамочное соглашение между правительствами Великобритании и Норвегии о строительстве, использовании и юрисдикции межсекторных подводных трубопроводов (Framework Agreement of 25 August 1998 relating to the laying, operation and jurisdiction of inter-connecting submarine pipelines). Основные его положения декларировали, что правительства не препятствуют строительству трубопроводов и транспортированию нефти между секторами, не рассматривают данное соглашение как посягательство на суверенитет каждой стороны в пределах зоны ответственности на шельфе и способствуют оптимальному использованию трубопроводов. В развитие этого соглашения в 2003 г. последовало совместное заявление министерств двух стран о будущем координировании действий и основных принципах нового рамочного договора, который касается широкого спектра вопросов юрисдикции, безопасности и условий окружающей среды, инспекций, систем измерений, выведения из эксплуатации, налогов, информационных потоков, процедур утверждения и экспертиз и тд.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В</w:t>
      </w:r>
      <w:r w:rsidRPr="005A3452">
        <w:rPr>
          <w:lang w:val="en-US"/>
        </w:rPr>
        <w:t xml:space="preserve"> </w:t>
      </w:r>
      <w:r w:rsidRPr="005A3452">
        <w:t>апреле</w:t>
      </w:r>
      <w:r w:rsidRPr="005A3452">
        <w:rPr>
          <w:lang w:val="en-US"/>
        </w:rPr>
        <w:t xml:space="preserve"> 2005 </w:t>
      </w:r>
      <w:r w:rsidRPr="005A3452">
        <w:t>г</w:t>
      </w:r>
      <w:r w:rsidRPr="005A3452">
        <w:rPr>
          <w:lang w:val="en-US"/>
        </w:rPr>
        <w:t xml:space="preserve">. </w:t>
      </w:r>
      <w:r w:rsidRPr="005A3452">
        <w:t>было</w:t>
      </w:r>
      <w:r w:rsidRPr="005A3452">
        <w:rPr>
          <w:lang w:val="en-US"/>
        </w:rPr>
        <w:t xml:space="preserve"> </w:t>
      </w:r>
      <w:r w:rsidRPr="005A3452">
        <w:t>подписано</w:t>
      </w:r>
      <w:r w:rsidRPr="005A3452">
        <w:rPr>
          <w:lang w:val="en-US"/>
        </w:rPr>
        <w:t xml:space="preserve"> </w:t>
      </w:r>
      <w:r w:rsidRPr="005A3452">
        <w:t>новое</w:t>
      </w:r>
      <w:r w:rsidRPr="005A3452">
        <w:rPr>
          <w:lang w:val="en-US"/>
        </w:rPr>
        <w:t xml:space="preserve"> </w:t>
      </w:r>
      <w:r w:rsidRPr="005A3452">
        <w:t>рамочное</w:t>
      </w:r>
      <w:r w:rsidRPr="005A3452">
        <w:rPr>
          <w:lang w:val="en-US"/>
        </w:rPr>
        <w:t xml:space="preserve"> </w:t>
      </w:r>
      <w:r w:rsidRPr="005A3452">
        <w:t>соглашение</w:t>
      </w:r>
      <w:r w:rsidRPr="005A3452">
        <w:rPr>
          <w:lang w:val="en-US"/>
        </w:rPr>
        <w:t xml:space="preserve"> </w:t>
      </w:r>
      <w:r w:rsidRPr="005A3452">
        <w:t>о</w:t>
      </w:r>
      <w:r w:rsidRPr="005A3452">
        <w:rPr>
          <w:lang w:val="en-US"/>
        </w:rPr>
        <w:t xml:space="preserve"> </w:t>
      </w:r>
      <w:r w:rsidRPr="005A3452">
        <w:t>координации</w:t>
      </w:r>
      <w:r w:rsidRPr="005A3452">
        <w:rPr>
          <w:lang w:val="en-US"/>
        </w:rPr>
        <w:t xml:space="preserve"> </w:t>
      </w:r>
      <w:r w:rsidRPr="005A3452">
        <w:t>межгосударственной</w:t>
      </w:r>
      <w:r w:rsidRPr="005A3452">
        <w:rPr>
          <w:lang w:val="en-US"/>
        </w:rPr>
        <w:t xml:space="preserve"> </w:t>
      </w:r>
      <w:r w:rsidRPr="005A3452">
        <w:t>деятельности</w:t>
      </w:r>
      <w:r w:rsidRPr="005A3452">
        <w:rPr>
          <w:lang w:val="en-US"/>
        </w:rPr>
        <w:t xml:space="preserve"> </w:t>
      </w:r>
      <w:r w:rsidRPr="005A3452">
        <w:t>в</w:t>
      </w:r>
      <w:r w:rsidRPr="005A3452">
        <w:rPr>
          <w:lang w:val="en-US"/>
        </w:rPr>
        <w:t xml:space="preserve"> </w:t>
      </w:r>
      <w:r w:rsidRPr="005A3452">
        <w:t>нефтегазовой</w:t>
      </w:r>
      <w:r w:rsidRPr="005A3452">
        <w:rPr>
          <w:lang w:val="en-US"/>
        </w:rPr>
        <w:t xml:space="preserve"> </w:t>
      </w:r>
      <w:r w:rsidRPr="005A3452">
        <w:t>отрасли</w:t>
      </w:r>
      <w:r w:rsidRPr="005A3452">
        <w:rPr>
          <w:lang w:val="en-US"/>
        </w:rPr>
        <w:t xml:space="preserve"> (Framework Agreement between the Government of the United Kingdom of Great Britain and Northern Ireland and the Government of the Kingdom of Norway concerning Cross-Boundary Petroleum Co-operation). </w:t>
      </w:r>
      <w:r w:rsidRPr="005A3452">
        <w:t>Оно регламентирует весь комплекс работ в совместных проектах, включая добычу, строительство новой и использование и демонтаж существующей инфраструктуры.</w:t>
      </w:r>
    </w:p>
    <w:p w:rsidR="005C6E66" w:rsidRPr="00F23A33" w:rsidRDefault="005C6E66" w:rsidP="005C6E66">
      <w:pPr>
        <w:spacing w:before="120"/>
        <w:jc w:val="center"/>
        <w:rPr>
          <w:b/>
          <w:bCs/>
          <w:sz w:val="28"/>
          <w:szCs w:val="28"/>
        </w:rPr>
      </w:pPr>
      <w:r w:rsidRPr="00F23A33">
        <w:rPr>
          <w:b/>
          <w:bCs/>
          <w:sz w:val="28"/>
          <w:szCs w:val="28"/>
        </w:rPr>
        <w:t>Выделение центров нефтедобычи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Пространственно-временной анализ освоения месторождений в регионе и используемых транспортных схем показал, что этот процесс происходит с формированием центров нефтедобычи (ЦНД). Они определяются как «совокупность разрабатываемых месторождений, имеющих общий пункт сдачи нефти в систему магистральных нефтепроводов, на железной дороге или морском терминале для доставки потребителям - на переработку или экспорт» и представляют собой пространственно и технологически связанные системы объектов разработки углеводородного сырья, его транспорта и учета товарной продукции [8]. На уровне ЦНД формируются региональные сорта нефти [9].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Принцип выделения ЦНД [8] основан на определении элементов транспортной схемы. Базовым элементом является месторождение; между месторождениями и пунктом сдачи располагается ряд насосных станций (НС), являющихся транспортными узлами системы. На них происходит смешение нефтей, поступающих из различных месторождений. Как показывает практика, число НС может различаться.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Понятие о ЦНД было выработано на основе изучения пространственной структуры движения нефти как товарного продукта в пределах Тимано-Печорской и Волго-Уральской нефтегазоносных провинций [10]. При изучении исторически протяженного процесса нефтедобычи в этих регионах обозначились устойчивые комплексы связанных транспортной системой месторождений нефти и пунктов сдачи. Поскольку рассматриваемые регионы континентальной нефтедобычи имеют развитую трубопроводную инфраструктуру привязанными к ним пунктами товарного учета, обособленых месторождений с собственной отгрузкой практически не существует. Все используемые виды транспорта доставляют нефть на общий в пределах освоенного региона товарный пункт, что и связывает несколько месторождений в единый ЦНД. Наиболее устойчивы ЦНД, где нефть к тарифному пункту доставляется трубопроводным транспортом. Более гибкими и во времени, и в пространстве являются ЦНД с использованием железнодорожного, автомобильного и морского транспорта.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Добыча и транспортирование нефти на континентальном шельфе Северо-Западной Европы имеют специфику, связанную с одновременным использованием различных схем отгрузки нефти. К настоящему времени сложились три типа схем: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1) отгрузка по подводному трубопроводу к береговому терминалу с группы месторождений или одного месторождения (6ереговой трубопроводный терминал);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2)</w:t>
      </w:r>
      <w:r>
        <w:t xml:space="preserve"> </w:t>
      </w:r>
      <w:r w:rsidRPr="005A3452">
        <w:t>отгрузка в танкеры с одиночного месторождения (морской терминал);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3) отгрузка в танкеры с центральной установки, к которой подключена группа месторождений (морской групповой терминал).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В соответствии с перечисленными транспортными решениями типизируются и ЦНД, ядро которых, в зависимости от типа, может состоять как из нескольких месторождений, так и из одиночного месторождения. Названия ЦНД даются по месторождениям, на которых расположен морской терминал отгрузки и по береговым терминалам с дополнениями, связанными с названиями трубопроводов, регионов или месторождений.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Пример выделения ЦНД показан на примере датского сектора Северного моря (рис. 2).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Следует отметить, что в практике Danish Energy Authority на датском шельфе выделяются центры добычи (production centres), однако они скорее соответствуют исторически сложившимся районам нефтедобычи, нежели инфраструктурным объектам, что следует из рис. 2.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По материалам пространственных данных национальных агентств стран, занимающихся добычей нефти на шельфе (3-7], на основе изложенного методического подхода составлена карта ЦНД континентального шельфа Северо-Западной Европы, где отражены результаты пространственного анализа объектов нефтедобычи (рис. 3). ЦВД разных типов присттствуют в каждом национальном секторе (за исключением германского, где разрабатывается одно месторождение нефти). Разнообразие их типов является характерной чертой освоения морских месторождений нефти севера Европы.</w:t>
      </w:r>
    </w:p>
    <w:p w:rsidR="005C6E66" w:rsidRPr="00F23A33" w:rsidRDefault="005C6E66" w:rsidP="005C6E66">
      <w:pPr>
        <w:spacing w:before="120"/>
        <w:jc w:val="center"/>
        <w:rPr>
          <w:b/>
          <w:bCs/>
          <w:sz w:val="28"/>
          <w:szCs w:val="28"/>
        </w:rPr>
      </w:pPr>
      <w:r w:rsidRPr="00F23A33">
        <w:rPr>
          <w:b/>
          <w:bCs/>
          <w:sz w:val="28"/>
          <w:szCs w:val="28"/>
        </w:rPr>
        <w:t>Развитие ЦНД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Нефтедобыча на шельфах Северо-Западной Европы развивалась путем развития ЦНД различных типов - сначала на акватории Северного моря, а по мере падения добычи в традиционных районах - на прилегающих акваториях Норвежского, Ирландского1 морей и Северной Атлантики (рис. 4 - 6). Примечательно, что профили добычи большинства ЦНД асимметричны, с малым периодом роста добычи. В первую очередь это относится к морским ЦНД вследствие высокой стоимости строительства и инсталляции морских платформ, сооружения подводных трубопроводов, систем хранения и отгрузки продукции. В</w:t>
      </w:r>
      <w:r>
        <w:t xml:space="preserve"> </w:t>
      </w:r>
      <w:r w:rsidRPr="005A3452">
        <w:t>связи с этим с целью скорейшего возмещения расходов нефтяные компании стараются достичь максимального объема добычи в кратчайшие сроки.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Очевидно, что наиболее устойчивыми во времени являются ЦНД с отгрузкой по трубопроводу на береговой терминал. На первоначальной стадии «долгоживущие» ЦНД функционировали с отгрузкой на морские терминалы. С конца 70-х - начала 80-х годов формируются ЦНД, в которых месторождения начинают эксплуатироваться с уже подготовленной трубопроводной и береговой инфраструктурами. С этим связан первый пик добычи в середине 80-х годов на британских ЦНД Sullom Voe Brent Oil и Sullom Voe Ninian Oil (разделенных по названиям трубопроводов) с береговым терминалом (см. рис. 5). Второй пик в середине 90-х годов наблюдался и в британском, и в норвежском секторах Северного моря (ЦНД Sture OTS с группой месторождений Oseberg). Затем с трубопроводной отгрузкой стал работать ЦНД Mongstad с группой месторождений Troll и Fram. После 2000 г. вводятся ЦНД Sture GOP и Sullom Voe Clair с единичными месторождениями Grane и Clair. Среди ЦНД с танкерной отгрузкой с группы месторождений имеются центры, в пределах которых месторождения связаны трубопроводной системой. Это в основном ЦНД самого обширного в Северном море британского сектора (Beryl, Fife, Curlew, Guillemot NW) и датский ЦНД Siri. Такие ЦНД, возможно, характеризуют стадию становления центров между танкерной отгрузкой с одного месторождения и ввода в действие трубопровода к береговому терминал)'. Однако падение добычи и отсутствие масштабных перспектив британского сектора, по-видимому, не будут способствовать дальнейшему развитию трубопроводных проектов и прошедшие пик своей добычи британские ЦНД не эволюционируют до трубопроводных.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ЦНД одиночных месторождений с отгрузкой в танкеры существуют весь период освоения континентального шельфа, однако их число увеличилось после падения добычи в середине 90-х годов и именно они обеспечили ее поддержание.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ЦНД континентального шельфа Севера Европы имеют особенности пространственной структуры, отражающие как историю их формирования, так и использование транспортных схем, обеспечивающих качество сырья. Наиболее «долгоживущий» ЦНД Teesside с нефтепроводом Norpipe от крупного норвежского месторождения Ekofisk характеризуется тем, что подводящие нефтепроводы вводились после строительства основной трубопроводной магистрали. Необходимость соблюдения соглашения о совместном использовании нефтепровода Norpipe между Норвегией и Великобританией не позволила последней подключить большое число месторождений, вследствие чего в ЦНД кроме норвежских входят малочисленные британские группы месторождений.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Более сложную и пространственно обширную структуру имеет ЦНД Cruden Bay. Здесь единая транспортная система создавалась с</w:t>
      </w:r>
      <w:r>
        <w:t xml:space="preserve"> </w:t>
      </w:r>
      <w:r w:rsidRPr="005A3452">
        <w:t>первоначальным образованием коммуникаций между отдельными месторождениями. Трубопровод Forties к береговому терминалу Cruden Bay был проложен позднее. Дальнейшее подключение месторождений, в том числе удаленных от основной магистрали, распространило ЦНД на большой регион с протяженными подводящими коммуникациями. ЦНД, ориентированные на Sullom Voe (Brent Oil и Ninian Oil), имеют пространственное перекрытие, что обусловлено наличием двух ветвей нефтепроводов.</w:t>
      </w:r>
      <w:r>
        <w:t xml:space="preserve"> 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Почти повсеместно в пределах площадных ЦНД присутствуют центры единичных месторождений с танкерной отгрузкой. Обособление месторождений необходимо для отдельной отгрузки нефти низшего качества. Например, танкерами вывозится низкокачественная нефть ЦНД Alba, расположенного в центре ЦНД Cruden Bay, где добывается нефть сорта Forties.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Ряд ЦНД прекратил свое существование по мере выработанности месторождений. Выведен из эксплуатации нидерландский береговой ЦНД Ноеk, где остановлена добыча на месторождении Р15. Завершили работу морские ЦНД Froy и Yme в норвежском секторе, Teal South - в английском.</w:t>
      </w:r>
    </w:p>
    <w:p w:rsidR="005C6E66" w:rsidRDefault="005C6E66" w:rsidP="005C6E66">
      <w:pPr>
        <w:spacing w:before="120"/>
        <w:ind w:firstLine="567"/>
        <w:jc w:val="both"/>
      </w:pPr>
      <w:r w:rsidRPr="005A3452">
        <w:t>Рост добычи отмечается в береговых ЦНД Fredericia (Дания), Sullom Voe Clair (Великобритания), Sture GOP (Норвегия) и морских Guillemot NW и Maclure в английском секторе Северного моря.</w:t>
      </w:r>
    </w:p>
    <w:p w:rsidR="005C6E66" w:rsidRPr="00F23A33" w:rsidRDefault="005C6E66" w:rsidP="005C6E66">
      <w:pPr>
        <w:spacing w:before="120"/>
        <w:jc w:val="center"/>
        <w:rPr>
          <w:b/>
          <w:bCs/>
          <w:sz w:val="28"/>
          <w:szCs w:val="28"/>
        </w:rPr>
      </w:pPr>
      <w:r w:rsidRPr="00F23A33">
        <w:rPr>
          <w:b/>
          <w:bCs/>
          <w:sz w:val="28"/>
          <w:szCs w:val="28"/>
        </w:rPr>
        <w:t>Качество нефтей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По сложившемуся мнению, месторождения Северного моря и прилегающих акваторий характеризуются высоким качеством нефти - низкими плотностью и содержанием серы. В первую очередь это связано с тем, что такое качество имеют учитываемые агентством Platt's сорта - Brent, Forties, Oseberg, Ekoflsk, Statfjord и Flotta (см. рис. 3) [11]. Однако сорта нефтей достаточно разнообразны (рис. 7).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На рис. 8 приведена пространственная характеристика ЦНД по плотности добываемых нефтей, которая является более важным показателем качества нефти, чем содержание серы, и определяет цену реализации нефти [12]. Типы нефтей дифференцированы в соответствии с ГОСТ Р 51858-2002 «Нефть. Общие технические условия": особо легкая (плотность менее 830 кг/м3), легкая (830-850 кг/м3), средняя (850-870 кг/м3), тяжелая (870-895 кг/м3), битуминозная (более 895 кг/м3). Отметим, что по принятой для оценки нефтей шельфа Европы классификации к тяжелым относятся нефти плотностью менее 28 или 27,5 API, т.е. плотностью соответственно более 884 или 887 кг/м3. Нижняя граница по плотности российской классификации - 870 кг/м3 соответствует 30,6 API.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После 1995 г. падение добычи на шельфах Великобритании и Норвегии компенсируется вводом в разработку месторождений преимущественно тяжелых и битуминозных нефтей (рис. 9), причем многие из них были открыты достаточно давно. Например, пионер Северного моря, месторождение Balder, открытое в 1967 г., введено в разработку в 1991 г.; характеризующееся наиболее тяжелой и высокосернистой нефтью месторождение Alba, открытое в декабре 1984 г., дало первую нефть в январе 1994 г.</w:t>
      </w:r>
    </w:p>
    <w:p w:rsidR="005C6E66" w:rsidRDefault="005C6E66" w:rsidP="005C6E66">
      <w:pPr>
        <w:spacing w:before="120"/>
        <w:ind w:firstLine="567"/>
        <w:jc w:val="both"/>
      </w:pPr>
      <w:r w:rsidRPr="005A3452">
        <w:t>Общее снижение качества добываемой нефти обусловлено не только вводом в освоение новых ЦНД с месторождениями нефти низкого качества, но и с включением их в транспортную инфраструктуру ЦНД с легкими нефтями. Развитие ЦНД Cruden Bay (сорт нефти Forties) связывается с освоением месторождения Buzzard, расположенного вблизи зоны делимитации Великобритании и Норвегии. Месторождение подготовлено для</w:t>
      </w:r>
      <w:r>
        <w:t xml:space="preserve"> </w:t>
      </w:r>
      <w:r w:rsidRPr="005A3452">
        <w:t xml:space="preserve">ввода в разработку в конце 2006 г. По оценке компании ВР, оператора Forties Pipeline System, максимальная добыча в 2007 г. составит 10,5 млн. т, что обеспечит 23 % добычи ЦНД в целом. Нефть месторождения характеризуется плотностью 859 кг/м3 и содержанием серы 1,44 % (хуже Urals). Освоение данного месторождения приведет к снижению параметров нефти сорта Forties Blend. По оценке компании ВР, плотность нефти к 2010 г. увеличится от текущих 800 до 816 кг/м3, а содержание серы - от 0,2 % до 0,56 %, что вызовет снижение ее стоимости. </w:t>
      </w:r>
    </w:p>
    <w:p w:rsidR="005C6E66" w:rsidRPr="00F23A33" w:rsidRDefault="005C6E66" w:rsidP="005C6E66">
      <w:pPr>
        <w:spacing w:before="120"/>
        <w:jc w:val="center"/>
        <w:rPr>
          <w:b/>
          <w:bCs/>
          <w:sz w:val="28"/>
          <w:szCs w:val="28"/>
        </w:rPr>
      </w:pPr>
      <w:r w:rsidRPr="00F23A33">
        <w:rPr>
          <w:b/>
          <w:bCs/>
          <w:sz w:val="28"/>
          <w:szCs w:val="28"/>
        </w:rPr>
        <w:t>Выводы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1. Практически все решенные или решаемые при освоении месторождений нефти шельфов Северо-Западной Европы проблемы - от организации приграничного сотрудничества до транспортных инфраструктурных решений - представляют несомненный интерес для России, стоящей на пороге долгожданного освоения Арктического шельфа. История освоения шель-фовых месторождений Северо-Западной Европы свидетельствует, что их эффективное освоение возможно при условии сотрудничества всех государств региона, которое включает не только урегулирование правовых решений зоны делимитации, но и технологический обмен и создание, в необходимых случаях, единой транспортной инфраструктуры.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2. Несомненный интерес представляет отношение стран северо-запада Европы к освоению месторождений тяжелых нефтей, доминирующих на российском шельфе. При разработке месторождений основных нефтедобывающих стран региона - Великобритании и Норвегии - на экспорт направлялись легкие сорта нефти, дающие наибольший экономический эффект от их продажи, а низкокачественные нефти в основном перерабатывались и поставлялись на мировой рынок в виде нефтепродуктов. По мере ухудшения качества нефтей объем экспортируемой странами нефти снижается, но растет экспорт нефтепродуктов. Наиболее наглядно это видно при анализе трансатлантического грузопотока [13].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3.</w:t>
      </w:r>
      <w:r>
        <w:t xml:space="preserve"> </w:t>
      </w:r>
      <w:r w:rsidRPr="005A3452">
        <w:t>Россия, Норвегия и Великобритания являются основными</w:t>
      </w:r>
      <w:r>
        <w:t xml:space="preserve"> </w:t>
      </w:r>
      <w:r w:rsidRPr="005A3452">
        <w:t>нефтедобывающими странами севера Европы, осуществляющими экспортные поставки на атлантическое побережье США, участвуя в едином грузопотоке. Характерно, что ориентация на экспорт нефтепродуктов присуща и для сийской трансатлантической торговли. Более того, резкий рост поставок нефтепродуктов сопровождается практически полным прекращением поставок сырой нефти в США? Возможно, частично в роли запретительного барьера выступает непомерная вывозная пошлина на сырую нефть, однако тождественность динамики транспортных потоков всех нефтедобывающих стран севера Европы свидетельствует об общих закономерностях.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t xml:space="preserve">4. Очевидно, что при освоении тяжелых нефтей месторождений нефти шельфа Печорского моря будет целесообразно строительство теперерабатывающих производств, например, в Мурманске, что позволит решить вопрос обеспечения региона мазутом (в Мурманск и Архангельск ввозится по железной дороге около 3 млн. т мазута ежегодно) с одновременным направлением на экспорт продуктов перегонки с большей добавленной стоимостью </w:t>
      </w:r>
      <w:r w:rsidRPr="005A3452">
        <w:rPr>
          <w:lang w:val="en-US"/>
        </w:rPr>
        <w:t>[14,15].</w:t>
      </w:r>
    </w:p>
    <w:p w:rsidR="005C6E66" w:rsidRPr="00F23A33" w:rsidRDefault="005C6E66" w:rsidP="005C6E6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F23A33">
        <w:rPr>
          <w:b/>
          <w:bCs/>
          <w:sz w:val="28"/>
          <w:szCs w:val="28"/>
        </w:rPr>
        <w:t>Список</w:t>
      </w:r>
      <w:r w:rsidRPr="00F23A33">
        <w:rPr>
          <w:b/>
          <w:bCs/>
          <w:sz w:val="28"/>
          <w:szCs w:val="28"/>
          <w:lang w:val="en-US"/>
        </w:rPr>
        <w:t xml:space="preserve"> </w:t>
      </w:r>
      <w:r w:rsidRPr="00F23A33">
        <w:rPr>
          <w:b/>
          <w:bCs/>
          <w:sz w:val="28"/>
          <w:szCs w:val="28"/>
        </w:rPr>
        <w:t>литературы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1. North Sea. EIA Country analysis Briefs. - August 2005.-7 p.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2. BP Statistical Review of World Energy. - June 2005.-44 p.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3. Facts 2004 The Norwegian petroleum sector. Ministry of Petroleum and Energy. 207 pp.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4. Facts 2005 The Norwegian petroleum sector. - Ministry of Petroleum and Energy. -194 p.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5. Oil and gas in the Netherlands. Exploration and production 2004 and prognoses 2005-2014. - Ministry of Economic Affairs. -114 p.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6. Oil and Gas Production in Denmark 2004. Danish Energy Authority. - 95 p.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7. UK Production Data Release. DTI Oil &amp; Gas Directorate. Release Date: 30/Mar/2006. - dti.gsi.gov.uk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8. Григорьев MM. Центры нефтедобычи как основа развития минерально-сырьевой базы топливно-энергетического</w:t>
      </w:r>
      <w:r>
        <w:t xml:space="preserve"> </w:t>
      </w:r>
      <w:r w:rsidRPr="005A3452">
        <w:t>комплекса/УНефтяное</w:t>
      </w:r>
      <w:r>
        <w:t xml:space="preserve"> </w:t>
      </w:r>
      <w:r w:rsidRPr="005A3452">
        <w:t>хозяйство.-2003.-№12.-С. 16-19.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9.</w:t>
      </w:r>
      <w:r>
        <w:t xml:space="preserve"> </w:t>
      </w:r>
      <w:r w:rsidRPr="005A3452">
        <w:t>Григорьев М.Н.</w:t>
      </w:r>
      <w:r>
        <w:t xml:space="preserve"> </w:t>
      </w:r>
      <w:r w:rsidRPr="005A3452">
        <w:t>Рецепт нефтяного коктейля//Нефть России. - 2005. - № 12. - С. 44-47.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t>10. Григорьев М.Н. Динамика центров нефтедобычи Тимано-Печоры. Нефтегазовая</w:t>
      </w:r>
      <w:r w:rsidRPr="005A3452">
        <w:rPr>
          <w:lang w:val="en-US"/>
        </w:rPr>
        <w:t xml:space="preserve"> </w:t>
      </w:r>
      <w:r w:rsidRPr="005A3452">
        <w:t>вертикаль</w:t>
      </w:r>
      <w:r w:rsidRPr="005A3452">
        <w:rPr>
          <w:lang w:val="en-US"/>
        </w:rPr>
        <w:t>. -2005. ■ №4.-</w:t>
      </w:r>
      <w:r w:rsidRPr="005A3452">
        <w:t>С</w:t>
      </w:r>
      <w:r w:rsidRPr="005A3452">
        <w:rPr>
          <w:lang w:val="en-US"/>
        </w:rPr>
        <w:t>.48-51.,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11. Methodology and Specifications Guide. Crude Oil. Platt's. February. - 2006. - 17 p.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12.</w:t>
      </w:r>
      <w:r>
        <w:t xml:space="preserve"> </w:t>
      </w:r>
      <w:r w:rsidRPr="005A3452">
        <w:t>Григорьев М.Н. Дифференциация НДПИ: группы факторов//Бурение&amp;Нефть. - 2005. - №10. -С. 2-5.</w:t>
      </w:r>
    </w:p>
    <w:p w:rsidR="005C6E66" w:rsidRPr="005A3452" w:rsidRDefault="005C6E66" w:rsidP="005C6E66">
      <w:pPr>
        <w:spacing w:before="120"/>
        <w:ind w:firstLine="567"/>
        <w:jc w:val="both"/>
        <w:rPr>
          <w:lang w:val="en-US"/>
        </w:rPr>
      </w:pPr>
      <w:r w:rsidRPr="005A3452">
        <w:rPr>
          <w:lang w:val="en-US"/>
        </w:rPr>
        <w:t>13. Petroleum Marketing Monthly, Energy Information Administration. -1996-2006.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14.</w:t>
      </w:r>
      <w:r>
        <w:t xml:space="preserve"> </w:t>
      </w:r>
      <w:r w:rsidRPr="005A3452">
        <w:t>Совершаева Л.П., Григорьев M.M., Хазова Е.В. Условия раскрытия природно-ресурсного потенциала Северо-Западного федерального округа/, Сборник трудов 5-го Международного Форума «Топливно-энергетический</w:t>
      </w:r>
      <w:r>
        <w:t xml:space="preserve"> </w:t>
      </w:r>
      <w:r w:rsidRPr="005A3452">
        <w:t>комплекс</w:t>
      </w:r>
      <w:r>
        <w:t xml:space="preserve"> </w:t>
      </w:r>
      <w:r w:rsidRPr="005A3452">
        <w:t>России: региональные аспекты». С.-Петербург, 4-7 апреля 2005 г. С.-Петербург. - 2005. - С. 21-24.</w:t>
      </w:r>
    </w:p>
    <w:p w:rsidR="005C6E66" w:rsidRPr="005A3452" w:rsidRDefault="005C6E66" w:rsidP="005C6E66">
      <w:pPr>
        <w:spacing w:before="120"/>
        <w:ind w:firstLine="567"/>
        <w:jc w:val="both"/>
      </w:pPr>
      <w:r w:rsidRPr="005A3452">
        <w:t>15. Григорьев М.Н. Северный морской путь: роль в освоении арктических углеводородных ресурсов и обеспечении энергетической безопасности стра-ны//НефтьГазПромышленность. - 2005. - № 4. -С. 22-24.</w:t>
      </w:r>
    </w:p>
    <w:p w:rsidR="005C6E66" w:rsidRDefault="005C6E66" w:rsidP="005C6E66">
      <w:pPr>
        <w:spacing w:before="120"/>
        <w:ind w:firstLine="567"/>
        <w:jc w:val="both"/>
      </w:pPr>
      <w:r>
        <w:t xml:space="preserve">Журнал «Нефтяное хозяйство» № 5, 2006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E66"/>
    <w:rsid w:val="003360A9"/>
    <w:rsid w:val="004C7DC6"/>
    <w:rsid w:val="005A3452"/>
    <w:rsid w:val="005C6E66"/>
    <w:rsid w:val="006B11B3"/>
    <w:rsid w:val="008E6B4E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160DA8-E8E6-4829-A843-C4BDBA7E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Центры нефтедобычи шельфов Северо-Запада Европы</vt:lpstr>
    </vt:vector>
  </TitlesOfParts>
  <Company>Home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Центры нефтедобычи шельфов Северо-Запада Европы</dc:title>
  <dc:subject/>
  <dc:creator>User</dc:creator>
  <cp:keywords/>
  <dc:description/>
  <cp:lastModifiedBy>admin</cp:lastModifiedBy>
  <cp:revision>2</cp:revision>
  <dcterms:created xsi:type="dcterms:W3CDTF">2014-02-14T15:35:00Z</dcterms:created>
  <dcterms:modified xsi:type="dcterms:W3CDTF">2014-02-14T15:35:00Z</dcterms:modified>
</cp:coreProperties>
</file>