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CAB" w:rsidRDefault="00D16CAB" w:rsidP="007F4D30">
      <w:pPr>
        <w:autoSpaceDE w:val="0"/>
        <w:autoSpaceDN w:val="0"/>
        <w:adjustRightInd w:val="0"/>
        <w:spacing w:after="0" w:line="360" w:lineRule="auto"/>
        <w:ind w:firstLine="709"/>
        <w:jc w:val="center"/>
        <w:rPr>
          <w:rFonts w:ascii="Times New Roman" w:hAnsi="Times New Roman" w:cs="Times New Roman"/>
          <w:b/>
          <w:bCs/>
          <w:sz w:val="28"/>
          <w:szCs w:val="28"/>
        </w:rPr>
      </w:pPr>
      <w:r w:rsidRPr="007F4D30">
        <w:rPr>
          <w:rFonts w:ascii="Times New Roman" w:hAnsi="Times New Roman" w:cs="Times New Roman"/>
          <w:b/>
          <w:bCs/>
          <w:sz w:val="28"/>
          <w:szCs w:val="28"/>
        </w:rPr>
        <w:t>ЕДИНЫЙ СЕЛЬСКОХОЗЯЙСТВЕННЫЙ НАЛОГ</w:t>
      </w:r>
    </w:p>
    <w:p w:rsidR="007F4D30" w:rsidRPr="007F4D30" w:rsidRDefault="007F4D30" w:rsidP="007F4D30">
      <w:pPr>
        <w:autoSpaceDE w:val="0"/>
        <w:autoSpaceDN w:val="0"/>
        <w:adjustRightInd w:val="0"/>
        <w:spacing w:after="0" w:line="360" w:lineRule="auto"/>
        <w:ind w:firstLine="709"/>
        <w:jc w:val="center"/>
        <w:rPr>
          <w:rFonts w:ascii="Times New Roman" w:hAnsi="Times New Roman" w:cs="Times New Roman"/>
          <w:b/>
          <w:bCs/>
          <w:sz w:val="28"/>
          <w:szCs w:val="28"/>
        </w:rPr>
      </w:pP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Организации, являющиеся налогоплательщиками единого сельскохозяйственного налога, освобождаются от обязанности по уплате налога на прибыль организаций, налога на имущество организаций, единого социального налога. Организации, являющиеся налогоплательщиками единого сельскохозяйственного налога, не признаются налогоплательщиками налога на добавленную стоимость.</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Налогоплательщиками единого сельскохозяйственного налога (далее в настоящей главе - налогоплательщики) признаются организации и индивидуальные предприниматели, являющиеся сельскохозяйственными товаропроизводителями.</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В целях настоящей главы сельскохозяйственными товаропроизводителями признаются организации и индивидуальные предприниматели, производящие сельскохозяйственную продукцию, осуществляющие ее первичную и последующую (промышленную) переработку (в том числе на арендованных основных средствах) и реализующие эту продукцию, при условии, что в общем доходе от реализации товаров (работ, услуг) таких организаций и индивидуальных предпринимателей доля дохода от реализации произведенной ими сельскохозяйственной продукции, включая продукцию ее первичной переработки, произведенную ими из сельскохозяйственного сырья собственного производства, составляет не менее 70 процентов, а также сельскохозяйственные потребительские кооперативы (перерабатывающие, сбытовые (торговые), снабженческие, садоводческие, огороднические, животноводческие), признаваемые таковыми в соответствии с Федеральным законом "О сельскохозяйственной кооперации", у которых доля доходов от реализации сельскохозяйственной продукции собственного производства членов данных кооперативов, включая продукцию первичной переработки, произведенную данными кооперативами из сельскохозяйственного сырья собственного производства членов этих кооперативов, а также от выполненных работ (услуг) для членов данных кооперативов составляет в общем доходе от реализации товаров (работ, услуг) не менее 70 процентов.</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Не вправе переходить на уплату единого сельскохозяйственного налога:</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1) организации, имеющие филиалы и (или) представительства;</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2) организации и индивидуальные предприниматели, занимающиеся производством подакцизных товаров;</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3) организации и индивидуальные предприниматели, осуществляющие предпринимательскую деятельность в сфере игорного бизнеса;</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4) бюджетные учреждения</w:t>
      </w:r>
    </w:p>
    <w:p w:rsidR="00D16CAB" w:rsidRPr="007F4D30" w:rsidRDefault="00D16CAB" w:rsidP="007F4D30">
      <w:pPr>
        <w:autoSpaceDE w:val="0"/>
        <w:autoSpaceDN w:val="0"/>
        <w:adjustRightInd w:val="0"/>
        <w:spacing w:after="0" w:line="360" w:lineRule="auto"/>
        <w:ind w:firstLine="709"/>
        <w:jc w:val="both"/>
        <w:outlineLvl w:val="2"/>
        <w:rPr>
          <w:rFonts w:ascii="Times New Roman" w:hAnsi="Times New Roman" w:cs="Times New Roman"/>
          <w:sz w:val="28"/>
          <w:szCs w:val="28"/>
        </w:rPr>
      </w:pPr>
      <w:r w:rsidRPr="007F4D30">
        <w:rPr>
          <w:rFonts w:ascii="Times New Roman" w:hAnsi="Times New Roman" w:cs="Times New Roman"/>
          <w:sz w:val="28"/>
          <w:szCs w:val="28"/>
        </w:rPr>
        <w:t>Статья 346.4. Объект налогообложения</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Объектом налогообложения признаются доходы, уменьшенные на величину расходов.</w:t>
      </w:r>
    </w:p>
    <w:p w:rsidR="00D16CAB" w:rsidRPr="007F4D30" w:rsidRDefault="00D16CAB" w:rsidP="007F4D30">
      <w:pPr>
        <w:autoSpaceDE w:val="0"/>
        <w:autoSpaceDN w:val="0"/>
        <w:adjustRightInd w:val="0"/>
        <w:spacing w:after="0" w:line="360" w:lineRule="auto"/>
        <w:ind w:firstLine="709"/>
        <w:jc w:val="both"/>
        <w:outlineLvl w:val="2"/>
        <w:rPr>
          <w:rFonts w:ascii="Times New Roman" w:hAnsi="Times New Roman" w:cs="Times New Roman"/>
          <w:sz w:val="28"/>
          <w:szCs w:val="28"/>
        </w:rPr>
      </w:pPr>
      <w:r w:rsidRPr="007F4D30">
        <w:rPr>
          <w:rFonts w:ascii="Times New Roman" w:hAnsi="Times New Roman" w:cs="Times New Roman"/>
          <w:sz w:val="28"/>
          <w:szCs w:val="28"/>
        </w:rPr>
        <w:t>Статья 346.5. Порядок определения и признания доходов и расходов</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1. При определении объекта налогообложения учитываются следующие доходы:</w:t>
      </w:r>
    </w:p>
    <w:p w:rsidR="00D16CAB" w:rsidRPr="007F4D30" w:rsidRDefault="00D16CAB" w:rsidP="007F4D30">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7F4D30">
        <w:rPr>
          <w:rFonts w:ascii="Times New Roman" w:hAnsi="Times New Roman" w:cs="Times New Roman"/>
          <w:sz w:val="28"/>
          <w:szCs w:val="28"/>
        </w:rPr>
        <w:t>доходы от реализации, определяемые в соответствии со статьей 249 настоящего Кодекса;</w:t>
      </w:r>
    </w:p>
    <w:p w:rsidR="00D16CAB" w:rsidRPr="007F4D30" w:rsidRDefault="00D16CAB" w:rsidP="007F4D30">
      <w:pPr>
        <w:numPr>
          <w:ilvl w:val="0"/>
          <w:numId w:val="1"/>
        </w:numPr>
        <w:autoSpaceDE w:val="0"/>
        <w:autoSpaceDN w:val="0"/>
        <w:adjustRightInd w:val="0"/>
        <w:spacing w:after="0" w:line="360" w:lineRule="auto"/>
        <w:jc w:val="both"/>
        <w:rPr>
          <w:rFonts w:ascii="Times New Roman" w:hAnsi="Times New Roman" w:cs="Times New Roman"/>
          <w:sz w:val="28"/>
          <w:szCs w:val="28"/>
        </w:rPr>
      </w:pPr>
      <w:r w:rsidRPr="007F4D30">
        <w:rPr>
          <w:rFonts w:ascii="Times New Roman" w:hAnsi="Times New Roman" w:cs="Times New Roman"/>
          <w:sz w:val="28"/>
          <w:szCs w:val="28"/>
        </w:rPr>
        <w:t>внереализационные доходы, определяемые в соответствии со статьей 250 настоящего Кодекса.</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При определении объекта налогообложения не учитываются доходы, указанные в статье 251 настоящего Кодекса, а также доходы в виде полученных дивидендов, налогообложение которых осуществляется налоговым агентом</w:t>
      </w:r>
      <w:r w:rsidR="007F4D30">
        <w:rPr>
          <w:rFonts w:ascii="Times New Roman" w:hAnsi="Times New Roman" w:cs="Times New Roman"/>
          <w:sz w:val="28"/>
          <w:szCs w:val="28"/>
        </w:rPr>
        <w:t>.</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При определении объекта налогообложения налогоплательщики уменьшают полученные ими доходы на следующие расходы:</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1) расходы на приобретение, сооружение и изготовление основных средств, а также на достройку, дооборудование, реконструкцию, модернизацию и техническое перевооружение основных средств (с учетом положений пункта 4 и абзаца шестого подпункта 2 пункта 5 настоящей статьи);</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2) расходы на приобретение нематериальных активов, создание нематериальных активов самим налогоплательщиком (с учетом положений пункта 4 и абзаца шестого подпункта 2 пункта 5 настоящей статьи);</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3) расходы на ремонт основных средств (в том числе арендованных);</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4) арендные (в том числе лизинговые) платежи за арендуемое (в том числе принятое в лизинг) имущество;</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5) материальные расходы, включая расходы на приобретение семян, рассады, саженцев и другого посадочного материала, удобрений, кормов, медикаментов, биопрепаратов и средств защиты растений;</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6) расходы на оплату труда, выплату пособий по временной нетрудоспособности в соответствии с законодательством Российской Федерации;</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7) расходы на обязательное и добровольное страхование, которые включают страховые взносы по всем видам обязательного страхования, а также по следующим видам добровольного страхования:</w:t>
      </w:r>
    </w:p>
    <w:p w:rsidR="00D16CAB" w:rsidRPr="007F4D30" w:rsidRDefault="00D16CAB" w:rsidP="007F4D30">
      <w:pPr>
        <w:numPr>
          <w:ilvl w:val="0"/>
          <w:numId w:val="2"/>
        </w:numPr>
        <w:autoSpaceDE w:val="0"/>
        <w:autoSpaceDN w:val="0"/>
        <w:adjustRightInd w:val="0"/>
        <w:spacing w:after="0" w:line="360" w:lineRule="auto"/>
        <w:jc w:val="both"/>
        <w:rPr>
          <w:rFonts w:ascii="Times New Roman" w:hAnsi="Times New Roman" w:cs="Times New Roman"/>
          <w:sz w:val="28"/>
          <w:szCs w:val="28"/>
        </w:rPr>
      </w:pPr>
      <w:r w:rsidRPr="007F4D30">
        <w:rPr>
          <w:rFonts w:ascii="Times New Roman" w:hAnsi="Times New Roman" w:cs="Times New Roman"/>
          <w:sz w:val="28"/>
          <w:szCs w:val="28"/>
        </w:rPr>
        <w:t>добровольному страхованию средств транспорта (в том числе арендованного);</w:t>
      </w:r>
    </w:p>
    <w:p w:rsidR="00D16CAB" w:rsidRPr="007F4D30" w:rsidRDefault="00D16CAB" w:rsidP="007F4D30">
      <w:pPr>
        <w:numPr>
          <w:ilvl w:val="0"/>
          <w:numId w:val="2"/>
        </w:numPr>
        <w:autoSpaceDE w:val="0"/>
        <w:autoSpaceDN w:val="0"/>
        <w:adjustRightInd w:val="0"/>
        <w:spacing w:after="0" w:line="360" w:lineRule="auto"/>
        <w:jc w:val="both"/>
        <w:rPr>
          <w:rFonts w:ascii="Times New Roman" w:hAnsi="Times New Roman" w:cs="Times New Roman"/>
          <w:sz w:val="28"/>
          <w:szCs w:val="28"/>
        </w:rPr>
      </w:pPr>
      <w:r w:rsidRPr="007F4D30">
        <w:rPr>
          <w:rFonts w:ascii="Times New Roman" w:hAnsi="Times New Roman" w:cs="Times New Roman"/>
          <w:sz w:val="28"/>
          <w:szCs w:val="28"/>
        </w:rPr>
        <w:t>добровольному страхованию грузов;</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8) суммы налога на добавленную стоимость по приобретенным и оплаченным налогоплательщиком товарам (работам, услугам), расходы на приобретение (оплату) которых подлежат включению в состав расходов в соответствии с настоящей статьей;</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9) суммы процентов, уплачиваемые за предоставление в пользование денежных средств (кредитов, займов), а также расходы, связанные с оплатой услуг, оказываемых кредитными организациями, в том числе связанные с продажей иностранной валюты при взыскании налога, сбора, пеней и штрафа в порядке</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11) суммы таможенных платежей, уплачиваемые при ввозе товаров на таможенную территорию Российской Федерации и не подлежащие возврату налогоплательщикам в соответствии с таможенным законодательством Российской Федерации;</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13) расходы на командировки</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4. Расходы на приобретение (сооружение, изготовление, достройку, дооборудование, реконструкцию, модернизацию и техническое перевооружение) основных средств, а также расходы на приобретение (создание самим налогоплательщиком) нематериальных активов принимаются в следующем порядке:</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1) в отношении расходов на приобретение (сооружение, изготовление) в период применения единого сельскохозяйственного налога основных средств, а также расходов на достройку, дооборудование, реконструкцию, модернизацию и техническое перевооружение основных средств, произведенных в указанном периоде, - с момента ввода этих основных средств в эксплуатацию;</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4.1. Расходы на приобретение имущественных прав на земельные участки учитываются в составе расходов равномерно в течение срока, определенного налогоплательщиком, но не менее семи лет. Суммы расходов учитываются равными долями за отчетный и налоговый периоды.</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5. Признание доходов и расходов налогоплательщика осуществляется в следующем порядке:</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1) в целях настоящей главы датой получения доходов признается день поступления средств на счета в банках и (или) в кассу, получения иного имущества (работ, услуг) и (или) имущественных прав, а также погашения задолженности иным способом (кассовый метод).</w:t>
      </w:r>
    </w:p>
    <w:p w:rsidR="00D16CAB" w:rsidRPr="007F4D30" w:rsidRDefault="00D16CAB" w:rsidP="007F4D30">
      <w:pPr>
        <w:autoSpaceDE w:val="0"/>
        <w:autoSpaceDN w:val="0"/>
        <w:adjustRightInd w:val="0"/>
        <w:spacing w:after="0" w:line="360" w:lineRule="auto"/>
        <w:ind w:firstLine="709"/>
        <w:jc w:val="both"/>
        <w:outlineLvl w:val="2"/>
        <w:rPr>
          <w:rFonts w:ascii="Times New Roman" w:hAnsi="Times New Roman" w:cs="Times New Roman"/>
          <w:sz w:val="28"/>
          <w:szCs w:val="28"/>
        </w:rPr>
      </w:pPr>
      <w:r w:rsidRPr="007F4D30">
        <w:rPr>
          <w:rFonts w:ascii="Times New Roman" w:hAnsi="Times New Roman" w:cs="Times New Roman"/>
          <w:sz w:val="28"/>
          <w:szCs w:val="28"/>
        </w:rPr>
        <w:t>Статья 346.6. Налоговая база</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5. Налогоплательщики вправе уменьшить налоговую базу за налоговый период на сумму убытка, полученного по итогам предыдущих налоговых периодов. При этом под убытком в целях настоящей главы понимается превышение расходов над доходами, определяемыми в соответствии со статьей 346.5 настоящего Кодекса.</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Указанный в настоящем пункте убыток не может уменьшать налоговую базу за налоговый период более чем на 30 процентов. При этом сумма убытка, превышающая указанное ограничение, может быть перенесена на следующие налоговые периоды, но не более чем на 10 налоговых периодов.</w:t>
      </w:r>
    </w:p>
    <w:p w:rsidR="00D16CAB" w:rsidRPr="007F4D30" w:rsidRDefault="00D16CAB" w:rsidP="007F4D30">
      <w:pPr>
        <w:autoSpaceDE w:val="0"/>
        <w:autoSpaceDN w:val="0"/>
        <w:adjustRightInd w:val="0"/>
        <w:spacing w:after="0" w:line="360" w:lineRule="auto"/>
        <w:ind w:firstLine="709"/>
        <w:jc w:val="both"/>
        <w:outlineLvl w:val="2"/>
        <w:rPr>
          <w:rFonts w:ascii="Times New Roman" w:hAnsi="Times New Roman" w:cs="Times New Roman"/>
          <w:sz w:val="28"/>
          <w:szCs w:val="28"/>
        </w:rPr>
      </w:pPr>
      <w:r w:rsidRPr="007F4D30">
        <w:rPr>
          <w:rFonts w:ascii="Times New Roman" w:hAnsi="Times New Roman" w:cs="Times New Roman"/>
          <w:sz w:val="28"/>
          <w:szCs w:val="28"/>
        </w:rPr>
        <w:t>Статья 346.7. Налоговый период. Отчетный период</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1. Налоговым периодом признается календарный год.</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2. Отчетным периодом признается полугодие.</w:t>
      </w:r>
    </w:p>
    <w:p w:rsidR="00D16CAB" w:rsidRPr="007F4D30" w:rsidRDefault="00D16CAB" w:rsidP="007F4D30">
      <w:pPr>
        <w:autoSpaceDE w:val="0"/>
        <w:autoSpaceDN w:val="0"/>
        <w:adjustRightInd w:val="0"/>
        <w:spacing w:after="0" w:line="360" w:lineRule="auto"/>
        <w:ind w:firstLine="709"/>
        <w:jc w:val="both"/>
        <w:outlineLvl w:val="2"/>
        <w:rPr>
          <w:rFonts w:ascii="Times New Roman" w:hAnsi="Times New Roman" w:cs="Times New Roman"/>
          <w:sz w:val="28"/>
          <w:szCs w:val="28"/>
        </w:rPr>
      </w:pPr>
      <w:r w:rsidRPr="007F4D30">
        <w:rPr>
          <w:rFonts w:ascii="Times New Roman" w:hAnsi="Times New Roman" w:cs="Times New Roman"/>
          <w:sz w:val="28"/>
          <w:szCs w:val="28"/>
        </w:rPr>
        <w:t>Статья 346.8. Налоговая ставка</w:t>
      </w:r>
    </w:p>
    <w:p w:rsidR="00D16CAB" w:rsidRPr="007F4D30" w:rsidRDefault="00D16CAB" w:rsidP="007F4D30">
      <w:pPr>
        <w:autoSpaceDE w:val="0"/>
        <w:autoSpaceDN w:val="0"/>
        <w:adjustRightInd w:val="0"/>
        <w:spacing w:after="0" w:line="360" w:lineRule="auto"/>
        <w:ind w:firstLine="709"/>
        <w:jc w:val="both"/>
        <w:rPr>
          <w:rFonts w:ascii="Times New Roman" w:hAnsi="Times New Roman" w:cs="Times New Roman"/>
          <w:sz w:val="28"/>
          <w:szCs w:val="28"/>
        </w:rPr>
      </w:pPr>
      <w:r w:rsidRPr="007F4D30">
        <w:rPr>
          <w:rFonts w:ascii="Times New Roman" w:hAnsi="Times New Roman" w:cs="Times New Roman"/>
          <w:sz w:val="28"/>
          <w:szCs w:val="28"/>
        </w:rPr>
        <w:t>Налоговая ставка устанавливается в размере 6 процентов.</w:t>
      </w:r>
    </w:p>
    <w:p w:rsidR="00D568AD" w:rsidRPr="007F4D30" w:rsidRDefault="00D568AD" w:rsidP="007F4D30">
      <w:pPr>
        <w:spacing w:after="0" w:line="360" w:lineRule="auto"/>
        <w:ind w:firstLine="709"/>
        <w:jc w:val="both"/>
        <w:rPr>
          <w:rFonts w:ascii="Times New Roman" w:hAnsi="Times New Roman" w:cs="Times New Roman"/>
          <w:sz w:val="28"/>
          <w:szCs w:val="28"/>
        </w:rPr>
      </w:pPr>
      <w:bookmarkStart w:id="0" w:name="_GoBack"/>
      <w:bookmarkEnd w:id="0"/>
    </w:p>
    <w:sectPr w:rsidR="00D568AD" w:rsidRPr="007F4D30" w:rsidSect="007F4D3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C0DC0"/>
    <w:multiLevelType w:val="hybridMultilevel"/>
    <w:tmpl w:val="75EC83A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37644224"/>
    <w:multiLevelType w:val="hybridMultilevel"/>
    <w:tmpl w:val="2E04C45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CAB"/>
    <w:rsid w:val="00166202"/>
    <w:rsid w:val="001E4F80"/>
    <w:rsid w:val="002675F7"/>
    <w:rsid w:val="00560B2A"/>
    <w:rsid w:val="00584C60"/>
    <w:rsid w:val="007F4D30"/>
    <w:rsid w:val="00C12500"/>
    <w:rsid w:val="00D16CAB"/>
    <w:rsid w:val="00D56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A0DAF4A-5241-4E54-9502-A0F623A2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CAB"/>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1070</Words>
  <Characters>6105</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ЕДИНЫЙ СЕЛЬСКОХОЗЯЙСТВЕННЫЙ НАЛОГ</vt:lpstr>
    </vt:vector>
  </TitlesOfParts>
  <Company>Reanimator Extreme Edition</Company>
  <LinksUpToDate>false</LinksUpToDate>
  <CharactersWithSpaces>7161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ЕДИНЫЙ СЕЛЬСКОХОЗЯЙСТВЕННЫЙ НАЛОГ</dc:title>
  <dc:subject/>
  <dc:creator>1</dc:creator>
  <cp:keywords/>
  <dc:description/>
  <cp:lastModifiedBy>admin</cp:lastModifiedBy>
  <cp:revision>2</cp:revision>
  <dcterms:created xsi:type="dcterms:W3CDTF">2014-03-12T12:39:00Z</dcterms:created>
  <dcterms:modified xsi:type="dcterms:W3CDTF">2014-03-12T12:39:00Z</dcterms:modified>
</cp:coreProperties>
</file>