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E68" w:rsidRPr="007C4376" w:rsidRDefault="00906E68" w:rsidP="00906E68">
      <w:pPr>
        <w:widowControl/>
        <w:spacing w:before="120"/>
        <w:jc w:val="center"/>
        <w:rPr>
          <w:rFonts w:ascii="Times New Roman" w:hAnsi="Times New Roman" w:cs="Times New Roman"/>
          <w:b/>
          <w:bCs/>
        </w:rPr>
      </w:pPr>
      <w:r w:rsidRPr="007C4376">
        <w:rPr>
          <w:rFonts w:ascii="Times New Roman" w:hAnsi="Times New Roman" w:cs="Times New Roman"/>
          <w:b/>
          <w:bCs/>
        </w:rPr>
        <w:t>Эфир: структура и ядерные силы</w:t>
      </w:r>
    </w:p>
    <w:p w:rsidR="00906E68" w:rsidRPr="007C4376" w:rsidRDefault="00906E68" w:rsidP="00906E68">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Карим ХАЙДАРОВ</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работе предложена эфирная концепция строения материи на основе теории эфира. Это позволило адекватно и логически непротиворечиво объяснить многие физические явления.</w:t>
      </w:r>
    </w:p>
    <w:p w:rsidR="00906E68" w:rsidRPr="007C4376" w:rsidRDefault="00906E68" w:rsidP="00906E68">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Эфир и атомизм</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Как показали 2500 лет назад античные мыслители Фалес, Левкипп, Демокрит, атомизм есть логическое следствие сложного, вечного, бесконечного и причинного мира. Атомизм – это свойство перехода материи в иное устойчивое качество при критическом изменении сложности. Так как ситуация критического перехода возникает на шкале масштабов неоднократно, то мы видим «атомы» разного ранга: галактики, звезды и планеты, камни и люди, песчинки пустынь и живые клетки, молекулы и химические атомы, атомные ядра и элементарные частицы.</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Иерархия этих уровней, естественно, продолжается ниже элементарных частиц и выше галактик. Однако познания человека пока ограничиваются этим.</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Можно ли выйти за пределы этого? Наверное, да. И пример античных философов, разработавших атомистическое учение задолго до физико-химического обнаружения атомной структуры, вдохновляет.</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Что является направляющим в таком прорыве?</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При переходе от «средних» уровней макромира к уровням меньшего масштаба увеличивается однообразие, порядок в атомистической структуре. Если в макромире практически всегда имеется различие в «атомах» (камень всегда отличается от камня, песчинка отличается от песчинки), то в микромире царствует четкое однообразие химических атомов одного сорта. На более мелких уровнях Природы мы в праве ожидать еще большего однообразия. Эта особенность оправдана самой причинностью нашего мира, где в общем случае меньший и более простой объект является следствием меньшего числа причин, и, следовательно, является носителем меньшего разнообразия.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Поведение «верхних» уровней определяется свойствами нижних. Поэтому, используя эти косвенные данные и логику, можно «восстановить» структуру и параметры нижнего уровня. Примеров тому множество, начиная от химического обнаружения атомов [Дальтон, Ломоносов, Лавуазье] и определения их размеров косвенным путем [Авогадро, Лошмидт], до обнаружения элементарных частиц [Резерфорд], определения квантовой природы излучения и параметров эфира [Планк].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Всеобщность законов сохранения для всех уровней и всех видов материи, как следствие общего причинного характера Вселенной, что было однозначно показано М. Ломоносовым в 1748, Г. Гельмгольцем в 1847 [32], Н. Умовым в 1870...1874 [46...54].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Наличие рациональной сетки иерархических уровней и системы фундаментальных единиц, найденных великим Максом Планком в 1899 году [55, 56].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Конкретизируя последний пункт, укажем, что в природе существуют основные иерархические масштабные уровни, которые имеют шаг объема равный Большому Числу Планка и, соответственно, шаг линейного размера равный кубическому корню из Большого Числа Планка.</w:t>
      </w:r>
    </w:p>
    <w:p w:rsidR="00906E68" w:rsidRPr="007C4376" w:rsidRDefault="00906E68" w:rsidP="00906E68">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Протоэфир</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Опираясь на эти достижения классической науки, автор попытается обозначить самый нижний из видимых и «самый простой» уровень материи. Этот фундамент позволит в дальнейшем минимизировать ошибки при построении более сложных верхних уровней.</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Этот самый нижний уровень можно представить как континуум (непрерывную и бесконечную среду), состоящую при более детальном рассмотрении из одинаковых, неизмеримых, неразличимых «протоатомов», которые для отличия от других уровней атомарности мы назовем протоамерами, то есть предшествующими уровню атомов эфира – амеров Демокрита. Амеры, из которых состоит эфир, в свою очередь являются «протоатомами» для элементарных частиц – элементов иерархического уровня химических атомов.</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Именно эта среда, протоэфир, должна быть всем во Вселенной. Всё, что иное – объекты высших уровней, должны состоять из элементов этой среды, то есть представлять различные конфигурации и формы движения протоэфира.</w:t>
      </w:r>
    </w:p>
    <w:p w:rsidR="00906E68" w:rsidRPr="007C4376" w:rsidRDefault="00906E68" w:rsidP="00906E68">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Корпускулярный эфир</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Опираясь на определение протоэфира и исследования, проведенные автором ранее [1...19] попытаемся обрисовать следующий иерархический уровень вселенской материи – эфир.</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Эфир естественным образом образуется из движущихся частиц протоэфира. Протоамер, двигаясь по траектории, постоянного радиуса относительно некоего центра, образует сферу, препятствующую прохождению через нее траекторий других движущихся протоамеров. Таким образом, все вселенское пространство заполняется такими сферами – «коконами», упруго давящими друг на друга.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Эти сферы – корпускулы эфира, вслед за великим Демокритом, назовем амерами, (αμερ – неизмеримый) – элементом вселенского эфира, а эфир, состоящий из таких корпускул – корпускулярным.</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Исходя из свойств протоэфира и движущегося протоамера можно предполагать следующие свойства амеров и среды, состоящей из них.</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Основная масса амеров имеет размер, определяемый давлением эфира во Вселенной. Это давление найдено автором в [6] анализом термодинамики и упругих свойств космического эфира. Действительно, исходя из корпускулярной структуры эфира, зная только два параметра: радиус корпускулы R и фоновую температуру космоса T0 = 2,723°K, по классическому газовому закону Гука (Бойля – Мариотта) мы можем найти это давление</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p = kT / V = 2,12·1081 [Pa],</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где k = 1,38·10–23 [J/°K] – «постоянная Больцмана», на самом деле коэффициент пересчета [°K] в [J], введенный Максом Планком; T = T0; V – объем, занимаемый амером.</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Этому давлению соответствует упругая энергия, заключенная в каждом амере (реально – в движущемся протоамере и упругой среде протоэфира) – энергия Планка.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Среда корпускулярного эфира – практически (интегрально) неподвижная космическая среда, относительно которой, как почти 30 лет назад показал С. Маринов, и как подтвердили недавние эксперименты по анизотропии космического теплового фона, Солнечная система движется со скоростью Маринова 360 ± 30 [km/s]. Так как корпускулярный эфир можно обнаружить только косвенно, то факт его существования до сих пор не воспринимается серьезно официальной наукой.</w:t>
      </w:r>
    </w:p>
    <w:p w:rsidR="00906E68" w:rsidRPr="007C4376" w:rsidRDefault="00906E68" w:rsidP="00906E68">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Домены корпускулярного эфира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Как показано И. Пригожиным [57], упругие среды, наподобие рассматриваемой нами среды корпускулярного эфира, при определенных условиях подвержены синергетическим процессам, то есть возникновению устойчивых и квазиустойчивых резонансных колебаний. Именно такие колебания возникают в корпускулярном эфире, делая его похожим на жидкокристаллическую среду.</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Естественно такие домены без каких-либо дополнительных условий являются эфемерными образованьями, которые постоянно возникают и разрушаются. Однако их наличие приводит к качественно новым явлениям в эфире.</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связи с тем, что максимальная амплитуда синергетических колебаний амеров корпускулярного эфира достигается на границах доменов, там возникают кратковременные «мгновенные» локальные межкорпускулярные разрежения и кратковременные максимальные пики давлений между корпускулами эфира. В результате этого создаются условия для больших флюктуаций траекторий протоамеров на границах доменов. В редких случаях это приводит к разрушению сферической траектории протоамера и, соответственно к разрушению амера корпускулярного эфира. Точнее, протоамер переходит на неуравновешенную траекторию, огибающую домен.</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рабочих моделях эфира, представленных автором ранее, корпускулярный и фазовый амеры связывались с уравновешенным и неуравновешенным «тяжелым» гироскопами соответственно. Было показано, что если корпускулярный эфир ведет себя как сверхтекучее вещество, то фазовый эфир обладает свойствами насыщенного «двумерного» пара, распространяющегося по междоменным границам.</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Амеры фазового эфира являются «клеем» для доменов, делая их устойчивыми и придавая им совершенно новые свойства, такие, например, как наличие силы, родственной поверхностному натяжению. Именно эфирные домены есть «тела», «заготовки» элементарных частиц. Проявляясь в экспериментах на мгновение, они чудятся физикам виртуальными частицами: электрон – позитронными парами, глюонами, виртуальными мезонами. Воздействуя на ядра атомов энергичными частицами, экспериментаторы на мгновение видят амеры фазового эфира, являющиеся связующим элементарных частиц – эфирных доменов, и называют их кварками.</w:t>
      </w:r>
    </w:p>
    <w:p w:rsidR="00906E68" w:rsidRPr="007C4376" w:rsidRDefault="00906E68" w:rsidP="00906E68">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Связанный фазовый эфир</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Отметим, что основное свойство эфира заключается в его двухкомпонентности. В предлагаемой концепции эфир существует в двух фазовых состояниях: в виде корпускулярного эфира (конденсированного, симметричного состояния) и фазового эфира (псевдогаза), заполняющего междоменное пространство и накапливающегося в доменах – частицах вещества.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Домены корпускулярного эфира, которые постоянно ассемблируются и дизассемблируются из амеров корпускулярного эфира волновыми синергетическими колебаниями, движутся увлекаемые фазовым эфиром и веществом (там, где оно есть).</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Высокая скорость колебаний амеров корпускулярного эфира делает такой процесс сборки и разборки незаметным, и процесс движения доменов видится как плавный и свободный от скорости Маринова. Поэтому множество экспериментов по обнаружению движения эфира заканчиваются неудачей. В лучшем случае они изменяют дрейф фазового эфира.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Фазовый эфир в силу своего свойства зависимости от границ доменов, увлекается окружающим веществом, производя впечатление полной относительности движения (релятивизма).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Таким образом, вокруг каждого эфирного домена есть «ниша» заполняемая амером фазового эфира, его линейный размер в 1021 раз больше радиуса амера корпускулярного эфира. Амер фазового эфира выполняет роль своеобразной авоськи – сетки, обеспечивающей с одной стороны целостность домена как структуры, а с другой – свободное движение (точнее покой) амеров корпускулярного эфира. Толщина междоменного пространства, заполняемого амерами фазового эфира менее радиуса амера корпускулярного эфира, то есть менее Длины Планка. Эфир, состоящий из таких амеров, назовем связанным фазовым эфиром. Он обязан своим образованием границам доменов и сам является связующим, определяющим целостность и форму домена.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Количество амеров фазового эфира во Вселенной меньше количества амеров корпускулярного эфира в Большое Число Планка раз. Таким образом, и энергетическая доля фазового эфира во столько же раз меньше. Однако, как было уже выяснено автором, существует и свободный фазовый эфир, амеры которого не связаны жестко с конкретным доменом, а движутся по границам доменов и накапливаются внутри доменов вещества (в элементарных частицах), чем обеспечивают возникновение гравитационного взаимодействия.</w:t>
      </w:r>
    </w:p>
    <w:p w:rsidR="00906E68" w:rsidRPr="007C4376" w:rsidRDefault="00906E68" w:rsidP="00906E68">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Свободный фазовый эфир</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Фазовый эфир есть отличное от состояния амеров корпускулярного эфира фазовое состояние амеров. Как было уже сказано выше, он есть подобие газа, в то время, как корпускулярный эфир есть подобие сверхтекучего вещества, такого как гелий. Последние эксперименты 2004 года с твердым гелием [58] подтверждают эту точку зрения еще больше: сверхтекучая фаза гелия на самом деле аналог сверхтекучего, зыбкого песка, не имеющего трения, межмолекулярных связей.</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Потеря гироскопического уравновешивания амером корпускулярного эфира есть аналог испарения. И наоборот, восстановление уравновешенного движения есть аналог конденсации.</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Как выяснено автором ранее, нетто-объем амера фазового эфира, то есть объем «оболочки», или пространства, занимаемого самим амером без учета внутренности амера, занятой амерами корпускулярного эфира, в 30 раз больше объема амера корпускулярного эфира. Фазовый переход амеров создает изменение объема амера и, соответственно, локальное падение давления в корпускулярном эфире. Это и есть процесс гравитации.</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Вокруг частиц вещества (протонов, электронов) создается разрежение, которое вызывает притяжение тел друг к другу. Вокруг частиц антивещества создается избыточное давление, которое расталкивает их, то есть создает антигравитацию.</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Это есть причина кажущейся асимметрии Вселенной по веществу и антивеществу. То антивещество, которое образовалось в процессе энергичных реакций рождения пар частиц – античастиц, улетает в далекий космос, скапливаясь в межгалактических ячеях, давно наблюдаемых астрономами. Как ясно из свойств антивещества, следующих из предлагаемой модели эфира, оно не может образовать атомов сложнее антиводорода.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Свободный фазовый эфир образуется в процессе антигравитации антивещества. Его потоки направлены из темных глубин метагалактических ячей к галактикам. В процессе гравитации обычного вещества он поглощается, переходя в амеры корпускулярного эфира.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Содержание фазового эфира в каждой частице вещества пропорционально гравитационной массе частицы и составляет по подсчетам автора 5,01·1070 [amer/kg].</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Именно фазовый эфир ответственен за электрические явления. Слабые явления электрической поляризации эфира (эффект Казимира, электромагнитные волны, электростатическое поле) наблюдаются повсеместно. Сильные явления, такие как образование двух противоположно поляризованных частиц (электрон – позитрон, протон – антипротон) происходят в условиях действия физических сил большой концентрации и энергии.</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Таким образом в предлагаемой концепции эфира видится баланс соотношения между корпускулярным эфиром, фазовым эфиром и веществом во Вселенной, показанный следующей таблице, то есть все величины разделены Большим Числом Планка.</w:t>
      </w:r>
    </w:p>
    <w:tbl>
      <w:tblPr>
        <w:tblW w:w="5000" w:type="pct"/>
        <w:tblCellSpacing w:w="0" w:type="dxa"/>
        <w:tblInd w:w="-83"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000" w:firstRow="0" w:lastRow="0" w:firstColumn="0" w:lastColumn="0" w:noHBand="0" w:noVBand="0"/>
      </w:tblPr>
      <w:tblGrid>
        <w:gridCol w:w="2993"/>
        <w:gridCol w:w="3371"/>
        <w:gridCol w:w="3424"/>
      </w:tblGrid>
      <w:tr w:rsidR="00906E68" w:rsidRPr="00D90111" w:rsidTr="00E51ACD">
        <w:trPr>
          <w:tblCellSpacing w:w="0" w:type="dxa"/>
        </w:trPr>
        <w:tc>
          <w:tcPr>
            <w:tcW w:w="1529" w:type="pct"/>
            <w:tcBorders>
              <w:top w:val="outset" w:sz="6" w:space="0" w:color="FFFFFF"/>
              <w:bottom w:val="outset" w:sz="6" w:space="0" w:color="FFFFFF"/>
              <w:right w:val="outset" w:sz="6" w:space="0" w:color="FFFFFF"/>
            </w:tcBorders>
            <w:shd w:val="clear" w:color="auto" w:fill="FFFFFF"/>
            <w:vAlign w:val="center"/>
          </w:tcPr>
          <w:p w:rsidR="00906E68" w:rsidRPr="00D90111" w:rsidRDefault="00906E68" w:rsidP="00E51ACD">
            <w:pPr>
              <w:widowControl/>
              <w:rPr>
                <w:rFonts w:ascii="Times New Roman" w:hAnsi="Times New Roman" w:cs="Times New Roman"/>
                <w:sz w:val="24"/>
                <w:szCs w:val="24"/>
              </w:rPr>
            </w:pPr>
            <w:r w:rsidRPr="00D90111">
              <w:rPr>
                <w:rFonts w:ascii="Times New Roman" w:hAnsi="Times New Roman" w:cs="Times New Roman"/>
                <w:sz w:val="24"/>
                <w:szCs w:val="24"/>
              </w:rPr>
              <w:t xml:space="preserve"> </w:t>
            </w:r>
          </w:p>
        </w:tc>
        <w:tc>
          <w:tcPr>
            <w:tcW w:w="1722"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906E68" w:rsidRPr="00D90111" w:rsidRDefault="00906E68" w:rsidP="00E51ACD">
            <w:pPr>
              <w:widowControl/>
              <w:rPr>
                <w:rFonts w:ascii="Times New Roman" w:hAnsi="Times New Roman" w:cs="Times New Roman"/>
                <w:sz w:val="24"/>
                <w:szCs w:val="24"/>
              </w:rPr>
            </w:pPr>
            <w:r w:rsidRPr="00D90111">
              <w:rPr>
                <w:rFonts w:ascii="Times New Roman" w:hAnsi="Times New Roman" w:cs="Times New Roman"/>
                <w:sz w:val="24"/>
                <w:szCs w:val="24"/>
              </w:rPr>
              <w:t>Средняя плотность энергии</w:t>
            </w:r>
          </w:p>
        </w:tc>
        <w:tc>
          <w:tcPr>
            <w:tcW w:w="1749" w:type="pct"/>
            <w:tcBorders>
              <w:top w:val="outset" w:sz="6" w:space="0" w:color="FFFFFF"/>
              <w:left w:val="outset" w:sz="6" w:space="0" w:color="FFFFFF"/>
              <w:bottom w:val="outset" w:sz="6" w:space="0" w:color="FFFFFF"/>
            </w:tcBorders>
            <w:shd w:val="clear" w:color="auto" w:fill="FFFFFF"/>
            <w:vAlign w:val="center"/>
          </w:tcPr>
          <w:p w:rsidR="00906E68" w:rsidRPr="00D90111" w:rsidRDefault="00906E68" w:rsidP="00E51ACD">
            <w:pPr>
              <w:widowControl/>
              <w:rPr>
                <w:rFonts w:ascii="Times New Roman" w:hAnsi="Times New Roman" w:cs="Times New Roman"/>
                <w:sz w:val="24"/>
                <w:szCs w:val="24"/>
              </w:rPr>
            </w:pPr>
            <w:r w:rsidRPr="00D90111">
              <w:rPr>
                <w:rFonts w:ascii="Times New Roman" w:hAnsi="Times New Roman" w:cs="Times New Roman"/>
                <w:sz w:val="24"/>
                <w:szCs w:val="24"/>
              </w:rPr>
              <w:t>Плотность инерции (массы)</w:t>
            </w:r>
          </w:p>
        </w:tc>
      </w:tr>
      <w:tr w:rsidR="00906E68" w:rsidRPr="00D90111" w:rsidTr="00E51ACD">
        <w:trPr>
          <w:tblCellSpacing w:w="0" w:type="dxa"/>
        </w:trPr>
        <w:tc>
          <w:tcPr>
            <w:tcW w:w="1529" w:type="pct"/>
            <w:tcBorders>
              <w:top w:val="outset" w:sz="6" w:space="0" w:color="FFFFFF"/>
              <w:bottom w:val="outset" w:sz="6" w:space="0" w:color="FFFFFF"/>
              <w:right w:val="outset" w:sz="6" w:space="0" w:color="FFFFFF"/>
            </w:tcBorders>
            <w:shd w:val="clear" w:color="auto" w:fill="FFFFFF"/>
            <w:vAlign w:val="center"/>
          </w:tcPr>
          <w:p w:rsidR="00906E68" w:rsidRPr="00D90111" w:rsidRDefault="00906E68" w:rsidP="00E51ACD">
            <w:pPr>
              <w:widowControl/>
              <w:rPr>
                <w:rFonts w:ascii="Times New Roman" w:hAnsi="Times New Roman" w:cs="Times New Roman"/>
                <w:sz w:val="24"/>
                <w:szCs w:val="24"/>
              </w:rPr>
            </w:pPr>
            <w:r w:rsidRPr="00D90111">
              <w:rPr>
                <w:rFonts w:ascii="Times New Roman" w:hAnsi="Times New Roman" w:cs="Times New Roman"/>
                <w:sz w:val="24"/>
                <w:szCs w:val="24"/>
              </w:rPr>
              <w:t>Корпускулярный эфир</w:t>
            </w:r>
          </w:p>
        </w:tc>
        <w:tc>
          <w:tcPr>
            <w:tcW w:w="1722"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906E68" w:rsidRPr="00D90111" w:rsidRDefault="00906E68" w:rsidP="00E51ACD">
            <w:pPr>
              <w:widowControl/>
              <w:rPr>
                <w:rFonts w:ascii="Times New Roman" w:hAnsi="Times New Roman" w:cs="Times New Roman"/>
                <w:sz w:val="24"/>
                <w:szCs w:val="24"/>
              </w:rPr>
            </w:pPr>
            <w:r w:rsidRPr="00D90111">
              <w:rPr>
                <w:rFonts w:ascii="Times New Roman" w:hAnsi="Times New Roman" w:cs="Times New Roman"/>
                <w:sz w:val="24"/>
                <w:szCs w:val="24"/>
              </w:rPr>
              <w:t>≈10113 [J/m3]</w:t>
            </w:r>
          </w:p>
        </w:tc>
        <w:tc>
          <w:tcPr>
            <w:tcW w:w="1749" w:type="pct"/>
            <w:tcBorders>
              <w:top w:val="outset" w:sz="6" w:space="0" w:color="FFFFFF"/>
              <w:left w:val="outset" w:sz="6" w:space="0" w:color="FFFFFF"/>
              <w:bottom w:val="outset" w:sz="6" w:space="0" w:color="FFFFFF"/>
            </w:tcBorders>
            <w:shd w:val="clear" w:color="auto" w:fill="FFFFFF"/>
            <w:vAlign w:val="center"/>
          </w:tcPr>
          <w:p w:rsidR="00906E68" w:rsidRPr="00D90111" w:rsidRDefault="00906E68" w:rsidP="00E51ACD">
            <w:pPr>
              <w:widowControl/>
              <w:rPr>
                <w:rFonts w:ascii="Times New Roman" w:hAnsi="Times New Roman" w:cs="Times New Roman"/>
                <w:sz w:val="24"/>
                <w:szCs w:val="24"/>
              </w:rPr>
            </w:pPr>
            <w:r w:rsidRPr="00D90111">
              <w:rPr>
                <w:rFonts w:ascii="Times New Roman" w:hAnsi="Times New Roman" w:cs="Times New Roman"/>
                <w:sz w:val="24"/>
                <w:szCs w:val="24"/>
              </w:rPr>
              <w:t>≈1096 [kg/m3]</w:t>
            </w:r>
          </w:p>
        </w:tc>
      </w:tr>
      <w:tr w:rsidR="00906E68" w:rsidRPr="00D90111" w:rsidTr="00E51ACD">
        <w:trPr>
          <w:tblCellSpacing w:w="0" w:type="dxa"/>
        </w:trPr>
        <w:tc>
          <w:tcPr>
            <w:tcW w:w="1529" w:type="pct"/>
            <w:tcBorders>
              <w:top w:val="outset" w:sz="6" w:space="0" w:color="FFFFFF"/>
              <w:bottom w:val="outset" w:sz="6" w:space="0" w:color="FFFFFF"/>
              <w:right w:val="outset" w:sz="6" w:space="0" w:color="FFFFFF"/>
            </w:tcBorders>
            <w:shd w:val="clear" w:color="auto" w:fill="FFFFFF"/>
            <w:vAlign w:val="center"/>
          </w:tcPr>
          <w:p w:rsidR="00906E68" w:rsidRPr="00D90111" w:rsidRDefault="00906E68" w:rsidP="00E51ACD">
            <w:pPr>
              <w:widowControl/>
              <w:rPr>
                <w:rFonts w:ascii="Times New Roman" w:hAnsi="Times New Roman" w:cs="Times New Roman"/>
                <w:sz w:val="24"/>
                <w:szCs w:val="24"/>
              </w:rPr>
            </w:pPr>
            <w:r w:rsidRPr="00D90111">
              <w:rPr>
                <w:rFonts w:ascii="Times New Roman" w:hAnsi="Times New Roman" w:cs="Times New Roman"/>
                <w:sz w:val="24"/>
                <w:szCs w:val="24"/>
              </w:rPr>
              <w:t>Фазовый эфир</w:t>
            </w:r>
          </w:p>
        </w:tc>
        <w:tc>
          <w:tcPr>
            <w:tcW w:w="1722"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906E68" w:rsidRPr="00D90111" w:rsidRDefault="00906E68" w:rsidP="00E51ACD">
            <w:pPr>
              <w:widowControl/>
              <w:rPr>
                <w:rFonts w:ascii="Times New Roman" w:hAnsi="Times New Roman" w:cs="Times New Roman"/>
                <w:sz w:val="24"/>
                <w:szCs w:val="24"/>
              </w:rPr>
            </w:pPr>
            <w:r w:rsidRPr="00D90111">
              <w:rPr>
                <w:rFonts w:ascii="Times New Roman" w:hAnsi="Times New Roman" w:cs="Times New Roman"/>
                <w:sz w:val="24"/>
                <w:szCs w:val="24"/>
              </w:rPr>
              <w:t>≈3·1049 [J/m3]</w:t>
            </w:r>
          </w:p>
        </w:tc>
        <w:tc>
          <w:tcPr>
            <w:tcW w:w="1749" w:type="pct"/>
            <w:tcBorders>
              <w:top w:val="outset" w:sz="6" w:space="0" w:color="FFFFFF"/>
              <w:left w:val="outset" w:sz="6" w:space="0" w:color="FFFFFF"/>
              <w:bottom w:val="outset" w:sz="6" w:space="0" w:color="FFFFFF"/>
            </w:tcBorders>
            <w:shd w:val="clear" w:color="auto" w:fill="FFFFFF"/>
            <w:vAlign w:val="center"/>
          </w:tcPr>
          <w:p w:rsidR="00906E68" w:rsidRPr="00D90111" w:rsidRDefault="00906E68" w:rsidP="00E51ACD">
            <w:pPr>
              <w:widowControl/>
              <w:rPr>
                <w:rFonts w:ascii="Times New Roman" w:hAnsi="Times New Roman" w:cs="Times New Roman"/>
                <w:sz w:val="24"/>
                <w:szCs w:val="24"/>
              </w:rPr>
            </w:pPr>
            <w:r w:rsidRPr="00D90111">
              <w:rPr>
                <w:rFonts w:ascii="Times New Roman" w:hAnsi="Times New Roman" w:cs="Times New Roman"/>
                <w:sz w:val="24"/>
                <w:szCs w:val="24"/>
              </w:rPr>
              <w:t>≈3·1032 [kg/m3]</w:t>
            </w:r>
          </w:p>
        </w:tc>
      </w:tr>
      <w:tr w:rsidR="00906E68" w:rsidRPr="00D90111" w:rsidTr="00E51ACD">
        <w:trPr>
          <w:tblCellSpacing w:w="0" w:type="dxa"/>
        </w:trPr>
        <w:tc>
          <w:tcPr>
            <w:tcW w:w="1529" w:type="pct"/>
            <w:tcBorders>
              <w:top w:val="outset" w:sz="6" w:space="0" w:color="FFFFFF"/>
              <w:bottom w:val="outset" w:sz="6" w:space="0" w:color="FFFFFF"/>
              <w:right w:val="outset" w:sz="6" w:space="0" w:color="FFFFFF"/>
            </w:tcBorders>
            <w:shd w:val="clear" w:color="auto" w:fill="FFFFFF"/>
            <w:vAlign w:val="center"/>
          </w:tcPr>
          <w:p w:rsidR="00906E68" w:rsidRPr="00D90111" w:rsidRDefault="00906E68" w:rsidP="00E51ACD">
            <w:pPr>
              <w:widowControl/>
              <w:rPr>
                <w:rFonts w:ascii="Times New Roman" w:hAnsi="Times New Roman" w:cs="Times New Roman"/>
                <w:sz w:val="24"/>
                <w:szCs w:val="24"/>
              </w:rPr>
            </w:pPr>
            <w:r w:rsidRPr="00D90111">
              <w:rPr>
                <w:rFonts w:ascii="Times New Roman" w:hAnsi="Times New Roman" w:cs="Times New Roman"/>
                <w:sz w:val="24"/>
                <w:szCs w:val="24"/>
              </w:rPr>
              <w:t>Вещество</w:t>
            </w:r>
          </w:p>
        </w:tc>
        <w:tc>
          <w:tcPr>
            <w:tcW w:w="1722"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906E68" w:rsidRPr="00D90111" w:rsidRDefault="00906E68" w:rsidP="00E51ACD">
            <w:pPr>
              <w:widowControl/>
              <w:rPr>
                <w:rFonts w:ascii="Times New Roman" w:hAnsi="Times New Roman" w:cs="Times New Roman"/>
                <w:sz w:val="24"/>
                <w:szCs w:val="24"/>
              </w:rPr>
            </w:pPr>
            <w:r w:rsidRPr="00D90111">
              <w:rPr>
                <w:rFonts w:ascii="Times New Roman" w:hAnsi="Times New Roman" w:cs="Times New Roman"/>
                <w:sz w:val="24"/>
                <w:szCs w:val="24"/>
              </w:rPr>
              <w:t>≈10–14 [J/m3]</w:t>
            </w:r>
          </w:p>
        </w:tc>
        <w:tc>
          <w:tcPr>
            <w:tcW w:w="1749" w:type="pct"/>
            <w:tcBorders>
              <w:top w:val="outset" w:sz="6" w:space="0" w:color="FFFFFF"/>
              <w:left w:val="outset" w:sz="6" w:space="0" w:color="FFFFFF"/>
              <w:bottom w:val="outset" w:sz="6" w:space="0" w:color="FFFFFF"/>
            </w:tcBorders>
            <w:shd w:val="clear" w:color="auto" w:fill="FFFFFF"/>
            <w:vAlign w:val="center"/>
          </w:tcPr>
          <w:p w:rsidR="00906E68" w:rsidRPr="00D90111" w:rsidRDefault="00906E68" w:rsidP="00E51ACD">
            <w:pPr>
              <w:widowControl/>
              <w:rPr>
                <w:rFonts w:ascii="Times New Roman" w:hAnsi="Times New Roman" w:cs="Times New Roman"/>
                <w:sz w:val="24"/>
                <w:szCs w:val="24"/>
              </w:rPr>
            </w:pPr>
            <w:r w:rsidRPr="00D90111">
              <w:rPr>
                <w:rFonts w:ascii="Times New Roman" w:hAnsi="Times New Roman" w:cs="Times New Roman"/>
                <w:sz w:val="24"/>
                <w:szCs w:val="24"/>
              </w:rPr>
              <w:t>≈10–31 [kg/m3]</w:t>
            </w:r>
          </w:p>
        </w:tc>
      </w:tr>
    </w:tbl>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Массовая плотность вещества согласуется с астрономическими данными. Кроме того количество вещества в галактиках равно количеству антивещества («темной материи») в метагалактических ячеях, обеспечивая «барионную симметрию» Вселенной.</w:t>
      </w:r>
    </w:p>
    <w:p w:rsidR="00906E68" w:rsidRPr="007C4376" w:rsidRDefault="00906E68" w:rsidP="00906E68">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Кванты света и вещество</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Как выяснено автором ранее, как кванты света, так и вещество представляют собой полюса совместных колебаний корпускулярного и фазового эфиров.</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Скорость света есть перемещение «медленной моды» – сгустка поляризованного фазового эфира. Однако это только одна из составляющих квантовых (световых) колебаний. Другой составляющей являются колебания корпускулярного эфира. Последние наблюдены экспериментально в виде «вакуумных колебаний» в различных экспериментах, например, в опыте с квантовым мазером [59]. Как выяснено автором, именно опережением колебаний корпускулярного эфира объясняются интерференционные картины световых волн, явления «запутанных состояний» и «телепортации».</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Скорость действия массовых гравитационных сил также равна скорости света, так как именно с этой скоростью перемещается давление в эфире. Быстрые тепловые движения амеров корпускулярного эфира в обычных условиях не в состоянии изменить давления в эфире, так как амеры эфира имеют гироскопические свойства, препятствующие этому.</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Масса (инерция) вещества определяется степенью деформации эфира вокруг этого вещества и является атрибутом эфира, сама же весомая элементарная частица лишь полюс этой деформации, а любое тело – агрегат таких полюсов.</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Элементарные частицы – это эфирные домены в особых, возбужденных состояниях.</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Ранее автором была предложена модель электрона – эфирного домена, в котором возбуждена одномодовая электромагнитная волна единственного светового кванта [3, 8]. Таким же образом мезон можно представить как эфирный домен с двухмодовым возбуждением, протон – с трехмодовым, а некоторые резонансы – с четырехмодовым и возможно большим числом мод.</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Рассмотрим структуру основных частиц немного подробнее.</w:t>
      </w:r>
    </w:p>
    <w:p w:rsidR="00906E68" w:rsidRPr="007C4376" w:rsidRDefault="00906E68" w:rsidP="00906E68">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Структура элементарных частиц</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Ранее автором была дана модель эфирного электрона подробно [3, 8, 9]. Здесь мы обрисуем только необходимое для дальнейшего изложения.</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Электрон есть электризованный захваченной им электромагнитной волной эфирный домен, имеющий форму эллипсоида вращения в плоском внешнем электрическом поле (рис. 1а). Электромагнитная волна, испытывая эффект полного внутреннего отражения меняет фазу пучности (узлов) на поверхности электрона с частотой, соответствующей частоте вращения единичного электрического заряда. Будучи свернутой в домене – резонаторе квантовая мода электромагнитной волны приобретает спин s = 1/2. Магнитный момент электрона, как было показано в [3] должен быть равен Me = 1 + 1/861 за счет изменения фазы на 1/861 за круговой цикл вращения волны 2π (отсюда α = 2π/861 = ≈ 1/137). Величина экваториального радиуса электрона зависит от напряженности внешнего электростатического поля, то есть, имея постоянный объем, электрон под действием электрического поля растягивается в плоскости экватора. При отсутствии внешнего электрического поля электрон растягивается в тончайший диск радиуса порядка постоянной Ридберга (≈10–7 m). Форму электрона и ее податливость можно вычислять, пользуясь классическими формулами поверхностного натяжения Лапласа для капли жидкости.</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Линия экватора есть траектория движения единичного электрического заряда, который создает магнитное поле электрона. По этой же линии происходит процесс фазового перехода эфира, то есть процесс гравитирования.</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Эта модель является утрированной, упрощенной. На самом деле точечный заряд конечной величины не может существовать, так как это ведет к бесконечной величине энергии. Следует отметить, что в предлагаемой концепции электрического поля заряды как объекты не существуют. Электрическое поле – это процесс, идущий в одну или другую сторону (см. [11]) вследствие асимметрии в фазовом переходе эфира. В этом процессе давление внутри фазового эфира отклоняется в большую или меньшую сторону от давления корпускулярного эфира. В классической физике давление фазового эфира называется электрическим потенциалом.</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Протон есть эфирный домен с тремя модами (тремя квантами) электромагнитных колебаний. Две моды соответствуют «позитронному» типу возбуждения электричества, то есть положительному заряду, а одна – отрицательному. Вращение отрицательного заряда происходит в обратную сторону относительно положительных. Поэтому суммарный магнитный момент достигает почти трех единиц. Вследствие того, что положительные заряды отталкиваются друг от друга и притягиваются к отрицательному, между траекториями положительных зарядов устанавливается угол 2α = 58,48°, что приводит к следующему суммарному магнитному моменту</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Mp = 1 + 2 cos 29,24° = 2,79275.</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Суммарный спин протона от трех свернутых гамма-квантовых мод</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s = sq- + sq+ + sq+ = –1/2 + 1/2 + 1/2 = 1/2.</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Протон, в отличие от электрона, в связи с большим поверхностным напряжением, в известные 1836,15 раз, имеет более жесткую и определенно сферическую форму. Это не «размазанная» сущность, как считается современными ядерщиками, у него очень четкие и гладкие границы. Радиус протона равен 1/2 классического радиуса электрона.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Нейтрон не является элементарной частицей. Это атом водорода, ядро которого захватило электрон атомной оболочки. Именно так великий Э. Резерфорд представлял его в своей «Берклианской лекции» 1920 года [60]. Он предполагал, что нейтрон представляет собой сильно связанное состояние электрона и протона.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дальнейшем, под напором идей Н. Бора о летающих электронах и электронах – облаках вероятности по Шредингеру, а также представлении о релятивистских электронах в ядре атома, эта правильная идея была отвергнута.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Гейзенберг, рассуждая формально правильно, но, опираясь на мифическое представление Бора о «летающих» электронах, в 1926 году высказал мысль, что электроны в силу принципа неопределенности не могут находиться внутри ядра атома [61]. В 1933 году Э. Ферми в своей работе [62] утверждал, что электрон не содержится в ядре, а образуется в момент β-распада как фотон образуется в результате квантового перехода.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Таким образом, в физике закрепилось отрицание правильной идеи Э. Резерфорда, и миф о нейтроне как элементарной частице существует до сих пор.</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На самом деле нейтрон есть соединение двух эфирных доменов – двух элементарных частиц – протона и электрона. Электрон в нейтроне охватывает протон полностью, и экваториальная «заряженная» линия стягивается почти в точку, лишая электрон свойства фермионности (полуцелого спина), превращая его в бозон. Таким образом, спин нейтрона остается таким же как у протона. Магнитный дипольный момент нейтрона за счет изменения углов между положительными электрическими модами становится равным</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Mp = – 1 + 1 + 2 cos 18,79° = 1,91348.</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Суммарный спин нейтрона от четырех свернутых гамма-квантовых мод</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s = seb + sq- + sq+ + sq+ = – 1 – 1/2 + 1/2 + 1/2 = –1/2.</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Размер нейтрона определяется двумя величинами: радиусом «жесткой» сферы протона (1/2 классического радиуса электрона) и радиусом «мягкой» электронной оболочки, приблизительно равной классическому радиусу электрона. В ядре, где температура много выше стандартной для пустого эфира температуры 2,7°K, радиус этой оболочки значительно уменьшается. Вообще, объем эфирного домена обратно пропорционален квадрату температуры эфира.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Благодаря такой структуре нейтрона в момент его распада выбрасывается электрон всегда с отрицательным спином, так как электрон отлетает «спиной».</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Домены мезонов имеют по 2 моды гамма-квантовых колебаний. Судя по спину 7/2, домены короткоживущих резонансов могут иметь до 7 мод.</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Нейтрино не является корпускулой. Это фонон, волна в эфире, существующая, по-видимому, в нескольких видах, подобно тому, как существует много видов сейсмических волн (Лява, Релея, продольные, поперечные...). Так называемые слабые взаимодействия есть события инициируемые внешними нейтрино (волнением эфира, увеличением температуры ядерного объекта) и производимые ядерными объектами (нейтронами, ядрами) в момент β-распада. При потере устойчивости, отрыве связанного в нейтроне электрона в эфире возникает своеобразная ударная волна, уносящая часть энергии. Эта ударная волна квантовой природы и есть нейтрино. Так как нейтрино – волна, а не частица она обладает нечетностью к процессу отражения.</w:t>
      </w:r>
    </w:p>
    <w:p w:rsidR="00906E68" w:rsidRPr="007C4376" w:rsidRDefault="00906E68" w:rsidP="00906E68">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Природа ядерных сил</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Различие понятий «энергия» и «сила». Для дальнейших рассуждений важно отметить следующее. При расчете целостности ядерной (и вообще физической) структуры первостепенное значение имеет соотношение сил: удерживающих и разрывающих. При превышении последних над первыми целостность структуры нарушается. При этом вовсе не обязательно, чтобы потенциальная энергия системы была отрицательной (вспомните заряженный арбалет). Более близкий пример – нейтрон, сохраняющий целостность несмотря на превышение потенциала внутренней энергии над условно «нулевым» уровнем протона – продукта его распада.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отличие от предлагаемого (и вполне логичного) подхода современная ядерная физика руководствуется только понятием отрицательной энергии потенциальной ямы, что является методологически неверным. Это причина возникновения всяких химер типа «туннельных эффектов», «кварков» с дробными зарядами и пр.</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Рассуждая о сильных взаимодействиях, манипулируют исключительно категорией энергии. При этом забывают, что энергия [J] есть лишь косвенный признак действия сил [N].</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Как и в других областях здравомыслящей физики, при анализе целостности ядра необходимо рассчитывать не баланс энергий, а соотношение консолидирующих и разрушающих сил.</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Как будет показано ниже, реально в ядре действует несколько типов сил:</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консолидирующие:</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электростатические силы притяжения разноименных зарядов;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контактные гравитационные силы,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магнитные силы (силы упругости),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разрушающие:</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электростатические силы отталкивания одноименных зарядов,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кинетические (тепловые) силы.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Если об электрических и магнитных силах в физике имеется более или менее здравое понятие, то о собственно ядерных силах этого не скажешь (там царят странные, цветные и вонючие очаровашки, нарушающие всякую логику).</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Покажем, что собственно ядерные силы есть частный случай сил гравитации. Так как согласно эфирной доктрине силы гравитации есть силы деформации в эфире, возникающие в процессе фазового перехода, то для понимания принципа действия ядерных сил рассмотрим особенности процессов, порождающих деформацию ядерных частиц. Отличие тяжелых частиц от электрона заключается в том, что фазовый переход амеров (то есть процесс гравитации) происходит в адронах не только по одной «экваториальной» линии, как у электрона. Этот процесс охватывает всю поверхность частицы, чем определяется активность адронов в ядерных взаимодействий.</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Контактная площадка протона. Так как ядерные силы прямо зависят от площади контакта между частицами, то определение этой площади является ключевым вопросом. В связи с громоздкостью вывода автор приводит лишь общие физические соображения, приведшие к нему.</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Будем считать, что происходит контакт двух сферических частиц, на поверхности которых происходит фазовый переход первого рода, и которые имеют определенную фиксированную разницу давлений реагента (фазового эфира), создаваемую на поверхности частицы. Интенсивность фазового перехода по всей свободной поверхности сферы одинакова. Кроме того, эти сферические частицы имеют фиксированное внутреннее давление, создающее фиксированную упругость формы.</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Такой контакт приводит к ограничению фазового перехода рамками оставшейся свободной поверхности. Это значит, что при определенной величине площади контактной площадки, давление на площадку уравновешивается спрямляющей силой упругости поверхности сферы.</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Как найдено автором, для протона такой величиной является ≈1/1420,866 его поверхности на одну связь.</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При контакте двух протонов друг с другом каждый из них теряет 1/1420,866 активной поверхности, и соответственно, мощности фазового перехода и соответствующую часть своей массы, которая есть следствие появления деформации эфира при фазовом переходе на поверхности частицы. Возникает асимметрия сил, приводящая к слипанию частиц.</w:t>
      </w:r>
    </w:p>
    <w:p w:rsidR="00906E68" w:rsidRPr="007C4376" w:rsidRDefault="00906E68" w:rsidP="00906E68">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Кванты энергии и силы в атомном ядре</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Контактные кванты. В связи с дискретной, то есть квантовой природой эфира, разделенного на домены, в ядре, состоящем из малого числа доменов, явно проявляются дискретные свойства этой среды.</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Как выявлено автором в процессе исследований, в ядре существует три пары квантов энергии и силы, соответственно трем видам движений (процессов) в эфире: гравитации, электричеству и магнетизму.</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Контактные гравитационные силы пропорциональны площади соприкосновения нуклонов и равны нулю при отсутствии прямого контакта нуклонов. Зная топологию ядра, то есть количество межнуклонных связей можно точно знать, какую часть массы относительно свободного протона теряет ядро (долю энергии связи, обусловленную контактными гравитационными силами). Зная топологию ядра, величину ядерных контактных сил и противодействующие ей силы Кулона, можно определить условия стабильности ядра.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Электрические кванты. Другой парой квантов являются известный квант энергии электростатического поля электрона и сила отталкивания двух контактирующих протонов.</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Электрические силы являются самыми большими в ядре. Они создают не только «потенциальные ямы» близостью разноименных зарядов, но и потенциальные «холмы» – «Кулоновские барьеры» близостью одноименных зарядов.</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Магнитные кванты (кванты упругости). Третьей парой ядерных квантов являются известные магнитные силы. Они квантуются вследствие существования кванта магнитного потока и дискретности упругих свойств эфира, то есть путей распространения (замыкания магнитного потока). Иначе их можно интерпретировать как кванты упругих состояний электронов в ядре.</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Кванты упругих состояний могут создавать как потенциальные «холмы», так и потенциальные ямы в зависимости от знака упругих (магнитных) сил. Величины магнитных сил, действующих между ядерными частицами, пока трудно анализируема, но они на порядок слабее электрических, кроме того, с расстоянием они ослабевают быстрее электрических сил.</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Следует признать, что с квантами этого типа в настоящее время больше вопросов, нежели ответов. Поэтому их магнитную природу можно принять только с некоторыми оговорками, как рабочую гипотезу.</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Замечательным является то, что энергия распада «спокойного» ядра складывается из целых значений ядерных квантов. Разница между суммой целых значений квантов и наблюдаемой энергией связи ядра Edec дает кинетическую энергию Ekin, заключенную в ядерных частицах</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Величина Ekin составляет единицы KeV для стабильных и долгоживущих изотопов.</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Из предлагаемой концепции можно сделать вывод, что с помощью известного способа магнитного охлаждения можно увеличить устойчивость ядер, то есть искусственно увеличить период полураспада или вовсе превратить радиоактивные ядра в стабильные, если это позволят сделать конфигурационные степени свободы ядра (изомерные состояния), см. ниже.</w:t>
      </w:r>
    </w:p>
    <w:p w:rsidR="00906E68" w:rsidRPr="007C4376" w:rsidRDefault="00906E68" w:rsidP="00906E68">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Концепция структуры ядра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Обрисуем общую концепцию строения атомного ядра, предлагаемую автором. Она в корне отличается от современной релятивистской концепции, развивавшейся последние 80 лет, и основывается на первичных концепциях Проута, 1820 и Резерфорда, 1920 [60], предполагавших о возможности составления ядра из атомов водорода.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Основываясь на открытии автором существования метатвердого состояния вещества [15], к которому относится и нейтрон как метастабильное, сжатое состояние атома водорода, с электроном в бозе-состоянии, можно продолжить развитие этой идеи на конструкцию ядра.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Как показали исследования автора, атомное ядро, представляющее квазикристаллический керн (кор) и подвижное гало, состоит не из протонов и нейтронов только. Точнее, нейтроны в ядре в существуют основном лишь в гало. Квазикристаллический керн состоит из протонных кластеров, связанных контактными ядерными силами и общей электронной оболочкой. Типичный кластер – альфа-частица, состоящая из четырех протонов и окружающей их «куперовской» парой электронов.</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Прямым подтверждением этой модели является не только обнаружение автором контактной природы ядерных сил, но и открытые полстолетия назад немецким физиком Мёссбауэром явления ядерного гамма-резонанса [63].</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Любой грамотный физик скажет, что тончайшие резонансные линии возможны только при наличии высокой добротности источника колебаний. Физике известно, что такими источниками являются кристаллы – естественные резонаторы. В пластичных структурах, имеющих заметное поглощение, такое явление невозможно. Таким образом гамма-резонанс Мёссбауэра показывает наличие кристаллической структуры керна ядра, высокую жесткость и упругость внутренних связей.</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Явление гигантского резонанса показывает наличие в ядре структур другого рода – электронных оболочек ядерных кластеров, являющихся и пластичными и поглощающими.</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Предлагаемая концепция легко объясняет магические числа заполнением симметричных конфигураций ядерных кластеров. Понятным становится скачок энергии испускания протонов и альфа-частиц вблизи магических чисел, когда резко обедняется нейтрон – электронное гало и происходит скачок электронной плотности на поверхности керна ядра.</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Новейшие открытия Станислава Васильевича Адаменко («ПРОТОН-21», Киев, Украина) подтверждают концепцию существования метатвердой фазы вещества, когда под воздействием гипердавлений происходит слом электронных оболочек атомов и обычное вещество переходит в состояние ядерной материи. При благоприятных условиях обратный переход ядерной материи в обычное вещество происходит с задержкой и формированием самых устойчивых изотопов, в основном железа. Метастабильное состояние ядерной материи обнаруживает неопределенно большие атомные веса, определяемые лишь кусковатостью этой материи [64...80]. Нейтрон – простейшее природное метатвердое ядерное вещество в метастабильном состоянии вне ядра известно давно, но интерпретировано неверно.</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 помощью предлагаемого подхода можно по известному составу, спину, энергии распада и другим косвенным признакам восстановить топологию ядра.</w:t>
      </w:r>
    </w:p>
    <w:p w:rsidR="00906E68" w:rsidRPr="007C4376" w:rsidRDefault="00906E68" w:rsidP="00906E68">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Выводы</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результате применения эфирного подхода к ядерной физике и анализа не только энергий но и соотношения сил, автором предложена непротиворечивая концепция, в которой:</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Нейтрон есть совокупность протона и электрона в бозе-состоянии.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В атомном ядре содержатся электроны в бозе-состоянии, в том числе в виде «куперовских» пар. Таким образом, оболочечная структура ядра объясняется присутствием в нем электронов.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Керн атомного ядра состоит из протонных кластеров, ассемблированных электронными оболочками.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Объясняется природа ядерных сил и причина их близкодействия. Собственно ядерные силы имеют контактную природу и являются частным случаем гравитационного взаимодействия.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Открыто существование квантов ядерной энергии и квантов ядерных сил. Составление первых дает энергию распада ядра, соотношение вторых определяет устойчивость ядра.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В рамках предлагаемой концепции находят простое объяснение причины возникновения ядерного гамма-резонанса Мёссбауэра и гигантского резонанса.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Предлагаемая концепция легко объясняет результаты экспериментальных открытий научной группы С.В. Адаменко – воздействием гипердавлением ими получена метастабильная ядерная материя, возвращающаяся в обычных условиях через некоторое время в обычное вещество.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Предлагаемый подход позволяет раскрыть топологию ядра и прогнозировать устойчивые конфигурации ядер (изотопы и изомеры). </w:t>
      </w:r>
    </w:p>
    <w:p w:rsidR="00906E68" w:rsidRPr="007C4376" w:rsidRDefault="00906E68" w:rsidP="00906E68">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Список литературы</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Вечная Вселенная. НиТ, 2003. Galilean Electrodynamics, №4, 2005.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Гравитирующий эфир. – BRI, Боровое, 2003, SciTecLibrary, 2004.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Эфир светоносный. – BRI, Боровое, 2003, SciTecLibrary, 2004.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Дыхание эфира. – BRI, Боровое, 2003, SciTecLibrary, 2004.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Термодинамика эфира. – BRI, Алматы, 2003, SciTecLibrary, 2004.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Быстрая гравитация. – BRI, Боровое, 2003, SciTecLibrary, 2004.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Эфирный атом. – BRI, Боровое, 2004, SciTecLibrary, 2004.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Эфирный электрон. – BRI, Боровое, 2004, SciTecLibrary, 2004.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Эфирная теория проводимости. – BRI, Боровое, 2004, SciTecLibrary, 2004.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Происхождение масс путем возмущения природного эфира. – BRI, Алматы, 2004.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Природа электричества как движения фазового эфира. – BRI, Алматы, 2004.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Природа света как совместных колебаний фаз. и корп. эфиров. – BRI, Боровое, 2004.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Эфирный ветер. – BRI, Алматы, 2004.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Энергия эфира. – BRI, Алматы, 2004.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Строение небесных тел. – BRI, Алматы, 2004.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Происхождение Солнца и планет. – BRI, Алматы, 2004.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Реальная динамика Солнца. – BRI, Алматы, 2004.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Хайдаров К.А. Эфирная механика. – BRI, Алматы. НиТ, Киев, 2004.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rPr>
        <w:t>Хайдаров К.А. Эфир – Великий Часовщик. – BRI, Боровое. НиТ</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Киев</w:t>
      </w:r>
      <w:r w:rsidRPr="00D90111">
        <w:rPr>
          <w:rFonts w:ascii="Times New Roman" w:hAnsi="Times New Roman" w:cs="Times New Roman"/>
          <w:sz w:val="24"/>
          <w:szCs w:val="24"/>
          <w:lang w:val="en-US"/>
        </w:rPr>
        <w:t xml:space="preserve">, 2004.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Kant I. Allgemeine Naturgeschichte und Theorie Des Himmels, Koenigsberg, 1755.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Galilei Galileo De motu gravium, 1590.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Hooke R. An Attempt to Prove the Motion of the Earth by Observations, London, 1674.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lang w:val="en-US"/>
        </w:rPr>
        <w:t xml:space="preserve">Bernoulli D. Hydrodynamica, sive de viribus et notibus fluidorum commentarii. </w:t>
      </w:r>
      <w:r w:rsidRPr="00D90111">
        <w:rPr>
          <w:rFonts w:ascii="Times New Roman" w:hAnsi="Times New Roman" w:cs="Times New Roman"/>
          <w:sz w:val="24"/>
          <w:szCs w:val="24"/>
        </w:rPr>
        <w:t xml:space="preserve">Argentorati, 1738.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Лойцянский Л.Г. Механика жидкости и газа. 5-е изд. – М.: 1978.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Gauss C.F. Werke, Vol. 5. Koenigliche Geselschaft der Wissenschaften zu Goettingen, 1867.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Gerber P. Die raumliche und zeitliche Ausbreitung der Gravitation. Z. Math. Phys., 43, 93...104, 1898.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Gerber P. Die Fortpflanzungsgeschwindigkeit der Gravitation. Programmabhandlung des stadtische Realgymnasiums zu Stargard in Pomerania, 1902.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lang w:val="en-US"/>
        </w:rPr>
        <w:t xml:space="preserve">Gerber P. Die Fortpflanzungsgeschwindigkeit der Gravitation. </w:t>
      </w:r>
      <w:r w:rsidRPr="00D90111">
        <w:rPr>
          <w:rFonts w:ascii="Times New Roman" w:hAnsi="Times New Roman" w:cs="Times New Roman"/>
          <w:sz w:val="24"/>
          <w:szCs w:val="24"/>
        </w:rPr>
        <w:t xml:space="preserve">Annln. Phys. (Lpz.), Ser. 4, 52, 415...441, 1917.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Гербер П. Пространственное и временнное распространение гравитации. (пер. Й. Керна, 2004).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Ленард Ф. О принципе относительности, эфире, гравитации. – Москва, ГосИз, 1922.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Lenard P. Ueber Relativitatsprinzip, Aether, Gravitation, Starks Jahrbuch d. Radioactivitat und Elektronik, Bd. 15, S. 117, 1918.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Helmholtz H. On the Conservation of Force, 1847.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Hilbert D. Koenigliche Geselschaft der Wissenschaften Nachrichten, Math.-phys. Klasse. 1915.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Bjerknes Ch.J. Albert Einstein – The Incorrigible Plagiarist.– XTX, 2001.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Bjerknes Ch.J. Anticipations of Einstein in the General Theory of Relativity. – XTX, 2003.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rPr>
        <w:t>Басов Н.Г., Амбарцумян Р.В., Зуев В.С., и др. ЖЭТФ</w:t>
      </w:r>
      <w:r w:rsidRPr="00D90111">
        <w:rPr>
          <w:rFonts w:ascii="Times New Roman" w:hAnsi="Times New Roman" w:cs="Times New Roman"/>
          <w:sz w:val="24"/>
          <w:szCs w:val="24"/>
          <w:lang w:val="en-US"/>
        </w:rPr>
        <w:t xml:space="preserve">, 50, 23, 1, 1966.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Wang L.J., Kuzmich A., Dogariu A. Gain-assisted superluminal light propagation. – Nature, 406, 2000.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St. Marinov, Measurement of the Laboratory’s Absolute Velocity, General Relativity and Gravitation, vol. 12, No 1, 57...65, (1980).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St. Marinov, Экспериментальные нарушения принципов относительности, эквивалентности и сохранения энергии. / Физическая мысль России, 1995. №2. C. 52...77.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Потапов А.А. Энергия связи многоэлектронных атомов по данным их поляризуемостей и ее периодичность в таблице Д.И. Менделеева, // Электронный журнал «Исследовано в России», 048/050219, стр. 541...553.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Потапов А.А. Абсолютный радиус многоэлектронных атомов по данным их поляризуемостей // Электронный журнал «Исследовано в России», 049/050219, стр. 554...570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Потапов А.А. Вириальная теория деформационной поляризации, Электронный журнал «Исследовано в России», 186/031101, стр. 2228...2241.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Потапов А.А. Деформационная поляризация. Поиск оптимальных моделей. – М.: Наука, 2004, 510 с.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Тимирязев А.К. О принципе относительности, М.: 1922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Тимирязев А.К. Кинетическая теория материи, М.: 1953.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Умов Н.А. Законы колебаний в неограниченной среде постоянной упругости. – (1870). Избранные сочинения. Гостехиздат, М.-Л.: 1950.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Умов Н.А. Теория термомеханических явлений в твердых упругих телах (1871). – Избр. сочинения.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Умов Н.А. Теория взаимодействий на расстояниях конечных и ее приложение к выводу электростатических и электродинамических законов, М.: 1873.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Умов Н.А. Исторический очерк теории света. «Записки Новороссийского университета», т. IX, 1873.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Умов Н.А. Теория простых сред и ее приложение к выводу основных законов электростатических и электродинамических взаимодействий. Одесса, 1873.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Умов Н.А. Уравнения движения энергии в телах (1874). – Избранные сочинения.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Умов Н.А. Прибавление к работе «Уравнения движения энергии в телах» (1874). – Избр. сочинения.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rPr>
        <w:t xml:space="preserve">Umov N. Albeitung der Bewegungsgleichungen der Energie in continuirlichen Körpern (Вывод уравнения движения энергии в непрерывных телах). </w:t>
      </w:r>
      <w:r w:rsidRPr="00D90111">
        <w:rPr>
          <w:rFonts w:ascii="Times New Roman" w:hAnsi="Times New Roman" w:cs="Times New Roman"/>
          <w:sz w:val="24"/>
          <w:szCs w:val="24"/>
          <w:lang w:val="en-US"/>
        </w:rPr>
        <w:t xml:space="preserve">«Zeitschrift für Mathematik und Physik», Bd. XIX, 1874, H. 5.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Umov N. Ein Theoremüber die Wechselwirkungen in Endlichen Entfernungen. </w:t>
      </w:r>
      <w:r w:rsidRPr="00D90111">
        <w:rPr>
          <w:rFonts w:ascii="Times New Roman" w:hAnsi="Times New Roman" w:cs="Times New Roman"/>
          <w:sz w:val="24"/>
          <w:szCs w:val="24"/>
        </w:rPr>
        <w:t xml:space="preserve">(Теорема относительно взаимодействий на расстояниях конечных)., «Zeitschrift für Mathematik und Physik», Вd. </w:t>
      </w:r>
      <w:r w:rsidRPr="00D90111">
        <w:rPr>
          <w:rFonts w:ascii="Times New Roman" w:hAnsi="Times New Roman" w:cs="Times New Roman"/>
          <w:sz w:val="24"/>
          <w:szCs w:val="24"/>
          <w:lang w:val="en-US"/>
        </w:rPr>
        <w:t xml:space="preserve">XIX, 1874.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Max Planck: Über irreversible Strahlungsvorgänge. Sitzungsberichte der Preußischen Akademie der Wissenschaften, vol. 5, p. 479 (1899).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Планк М. О необратимых процессах излучения. §26 Естественные единицы измерения. // Избранные труды, М. Наука, 1975.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Пригожин И., Стенгерс И. Порядок из хаоса, М.: 1986.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Chan M., Eun-Seong Kim, Nature, 15 January (2004).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Loudon R. What is a photon? – Journal of the Optical Society of America, Oct, 2003.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Резерфорд Э. Ядерное строение атома: Берклианская лекция. – в кн.: Нейтрон: Предыстория, открытие, последствия. – М.: Наука, 1975, с. 139.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Heisenberg W., Goudsmit S., Uhlenbeck G. E. ’Die Kopplungsmoglichkeiten der Quantenvektoren im Atom." Physikalische Berichte 7, 2nd half, 981, (1926).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rPr>
        <w:t>Ферми</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Э</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К</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теории</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β</w:t>
      </w:r>
      <w:r w:rsidRPr="00D90111">
        <w:rPr>
          <w:rFonts w:ascii="Times New Roman" w:hAnsi="Times New Roman" w:cs="Times New Roman"/>
          <w:sz w:val="24"/>
          <w:szCs w:val="24"/>
          <w:lang w:val="en-US"/>
        </w:rPr>
        <w:t>-</w:t>
      </w:r>
      <w:r w:rsidRPr="00D90111">
        <w:rPr>
          <w:rFonts w:ascii="Times New Roman" w:hAnsi="Times New Roman" w:cs="Times New Roman"/>
          <w:sz w:val="24"/>
          <w:szCs w:val="24"/>
        </w:rPr>
        <w:t>лучей</w:t>
      </w:r>
      <w:r w:rsidRPr="00D90111">
        <w:rPr>
          <w:rFonts w:ascii="Times New Roman" w:hAnsi="Times New Roman" w:cs="Times New Roman"/>
          <w:sz w:val="24"/>
          <w:szCs w:val="24"/>
          <w:lang w:val="en-US"/>
        </w:rPr>
        <w:t xml:space="preserve">. – 1933.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Мёссбауэр Р. Эффект RK и его значение для точных измерений, в кн. «Наука и человечество», 1962.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rPr>
        <w:t xml:space="preserve">S. V. Adamenko and V.I. Vysotskii. </w:t>
      </w:r>
      <w:r w:rsidRPr="00D90111">
        <w:rPr>
          <w:rFonts w:ascii="Times New Roman" w:hAnsi="Times New Roman" w:cs="Times New Roman"/>
          <w:sz w:val="24"/>
          <w:szCs w:val="24"/>
          <w:lang w:val="en-US"/>
        </w:rPr>
        <w:t xml:space="preserve">Mechanism of synthesis of superheavy nuclei via the process of controlled electron-nuclear collapse. Foundations of Physics Letters, Vol. 17 No. 3. June 2004, p. 203...233.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lang w:val="en-US"/>
        </w:rPr>
        <w:t xml:space="preserve">S. V. Adamenko, A.S. Adamenko, and V.I. Vysotskii. Full-Range Nucleosynthesis in the Laboratory. Stable Superheavy Elements: Experimental Results and Theoretical Descriptions. ISSUE 54, 2004. Infin. </w:t>
      </w:r>
      <w:r w:rsidRPr="00D90111">
        <w:rPr>
          <w:rFonts w:ascii="Times New Roman" w:hAnsi="Times New Roman" w:cs="Times New Roman"/>
          <w:sz w:val="24"/>
          <w:szCs w:val="24"/>
        </w:rPr>
        <w:t xml:space="preserve">Energy. p. 1...8.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Адаменко С.В. Концепция искусственно инициируемого коллапса вещества и основные результаты первого этапа ее экспериментальной реализации. Препринт 2004, Киев, Академпериодика, с. 36.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rPr>
        <w:t xml:space="preserve">S. V. Adamenko, A.S. Adamenko. </w:t>
      </w:r>
      <w:r w:rsidRPr="00D90111">
        <w:rPr>
          <w:rFonts w:ascii="Times New Roman" w:hAnsi="Times New Roman" w:cs="Times New Roman"/>
          <w:sz w:val="24"/>
          <w:szCs w:val="24"/>
          <w:lang w:val="en-US"/>
        </w:rPr>
        <w:t xml:space="preserve">Isotopic composition peculiarities in products of nucleosynthesis in extremely dense matter. Proceedings of Int. Symp. New Projects and Lines of Research in Nuclear Physics, 24...26 Oct. Messina, Italy, p. 33...44 (2002).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S. V. Adamenko, V.I. Vysotskii. Possible explanation of the anomalous localization effect of the nuclear reaction products stimulated by controlled collapse and the problem of stable superheavy nuclei. Proceedings of Int. Symp. New Projects and Lines of Research in Nuclear Physics, 24...26 Oct. Messina, Italy, p. 383...391 (2002).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S. V. Adamenko, A. S. Adamenko. Analysis of laboratory nucleosynthesis products.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S. V. Adamenko, A.S. Adamenko, I.A. Kossko, V.D. Kurochkin, V.V. Kovylyaev, S.S. Ponomarev, and A.V. Andreev. Estimation of the amount of the nuclear transformation products formed under explosion-induced compression of a substance to the superdense state.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S. V. Adamenko, A.S. Adamenko, and S.S. Ponomarev. Study of the composition of products of controlled nucleosynthesis by local Auger-electron spectroscopy.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S. V. Adamenko, A.S. Adamenko, A.V. Andreev, I.A. Kossko, S.S. Ponomarev, V.V. Kovylyaev, and A.N. Zakusilo. On the unidentifiable peaks in characteristic X-ray spectra.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В</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Адаменко</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А</w:t>
      </w:r>
      <w:r w:rsidRPr="00D90111">
        <w:rPr>
          <w:rFonts w:ascii="Times New Roman" w:hAnsi="Times New Roman" w:cs="Times New Roman"/>
          <w:sz w:val="24"/>
          <w:szCs w:val="24"/>
          <w:lang w:val="en-US"/>
        </w:rPr>
        <w:t>.</w:t>
      </w:r>
      <w:r w:rsidRPr="00D90111">
        <w:rPr>
          <w:rFonts w:ascii="Times New Roman" w:hAnsi="Times New Roman" w:cs="Times New Roman"/>
          <w:sz w:val="24"/>
          <w:szCs w:val="24"/>
        </w:rPr>
        <w:t>В</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Пащенко</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И</w:t>
      </w:r>
      <w:r w:rsidRPr="00D90111">
        <w:rPr>
          <w:rFonts w:ascii="Times New Roman" w:hAnsi="Times New Roman" w:cs="Times New Roman"/>
          <w:sz w:val="24"/>
          <w:szCs w:val="24"/>
          <w:lang w:val="en-US"/>
        </w:rPr>
        <w:t>.</w:t>
      </w:r>
      <w:r w:rsidRPr="00D90111">
        <w:rPr>
          <w:rFonts w:ascii="Times New Roman" w:hAnsi="Times New Roman" w:cs="Times New Roman"/>
          <w:sz w:val="24"/>
          <w:szCs w:val="24"/>
        </w:rPr>
        <w:t>Н</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Шаповал</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В</w:t>
      </w:r>
      <w:r w:rsidRPr="00D90111">
        <w:rPr>
          <w:rFonts w:ascii="Times New Roman" w:hAnsi="Times New Roman" w:cs="Times New Roman"/>
          <w:sz w:val="24"/>
          <w:szCs w:val="24"/>
          <w:lang w:val="en-US"/>
        </w:rPr>
        <w:t>.</w:t>
      </w:r>
      <w:r w:rsidRPr="00D90111">
        <w:rPr>
          <w:rFonts w:ascii="Times New Roman" w:hAnsi="Times New Roman" w:cs="Times New Roman"/>
          <w:sz w:val="24"/>
          <w:szCs w:val="24"/>
        </w:rPr>
        <w:t>Е</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Новиков</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 xml:space="preserve">Процессы с обострением и дробление масштабов в плазменно-полевых структурах // Вопросы атомной науки и техники, Серия: Плазменная электроника и новые методы ускорения, 2003, №4, с. 172...176.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С. Адаменко. Несиловий метод керованого нуклеосинтезу. Вісник НАН України, 2003, №2, с. 23...26.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С.В. Адаменко, П.А. Березняк, И.М. Михайловский, В.А. Стратиенко, Н.Г. Толмачев, А.С. Адаменко, Т.Н. Мазилова. Инициирование электрического вакуумного разряда ускоренными наночастицами // Письма в ЖТФ. 2001. т. 27. в. 16. с. 15...20.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V. I. Vysotskii, S.V. Adamenko, V.A. Stratienko, N.G. Tolmachev. Creating and using of superdense micro-beams of subrelativistic electrons. Nuclear Instruments and Methods in Physics Research Section A: Accelerators, Spectrometers, Detectors and Associated Equipment, V. 455, Issue: 1, Nov. 21, 2000, pp. 123...127.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S. Adamenko, E. Bulyak, V. Stratienko, N. Tolmachev. Limits of plasma focusing of high current electron beams. Proceedings of the 1999 Particle Accelerator Conference, New York, 1999, p. 3269. </w:t>
      </w:r>
    </w:p>
    <w:p w:rsidR="00906E68" w:rsidRPr="00D90111" w:rsidRDefault="00906E68" w:rsidP="00906E68">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S. Adamenko, E. Bulyak, V. Stratienko, N. Tolmachev. Effect of auto-focusing of the electron beam in the relativistic vacuum diode. Proceedings of the 1999 Particle Accelerator Conference, New York, 1999, p. 3271.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Адаменко</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С</w:t>
      </w:r>
      <w:r w:rsidRPr="00D90111">
        <w:rPr>
          <w:rFonts w:ascii="Times New Roman" w:hAnsi="Times New Roman" w:cs="Times New Roman"/>
          <w:sz w:val="24"/>
          <w:szCs w:val="24"/>
          <w:lang w:val="en-US"/>
        </w:rPr>
        <w:t>.</w:t>
      </w:r>
      <w:r w:rsidRPr="00D90111">
        <w:rPr>
          <w:rFonts w:ascii="Times New Roman" w:hAnsi="Times New Roman" w:cs="Times New Roman"/>
          <w:sz w:val="24"/>
          <w:szCs w:val="24"/>
        </w:rPr>
        <w:t>В</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Долгополов</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В</w:t>
      </w:r>
      <w:r w:rsidRPr="00D90111">
        <w:rPr>
          <w:rFonts w:ascii="Times New Roman" w:hAnsi="Times New Roman" w:cs="Times New Roman"/>
          <w:sz w:val="24"/>
          <w:szCs w:val="24"/>
          <w:lang w:val="en-US"/>
        </w:rPr>
        <w:t>.</w:t>
      </w:r>
      <w:r w:rsidRPr="00D90111">
        <w:rPr>
          <w:rFonts w:ascii="Times New Roman" w:hAnsi="Times New Roman" w:cs="Times New Roman"/>
          <w:sz w:val="24"/>
          <w:szCs w:val="24"/>
        </w:rPr>
        <w:t>В</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Кириченко</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Ю</w:t>
      </w:r>
      <w:r w:rsidRPr="00D90111">
        <w:rPr>
          <w:rFonts w:ascii="Times New Roman" w:hAnsi="Times New Roman" w:cs="Times New Roman"/>
          <w:sz w:val="24"/>
          <w:szCs w:val="24"/>
          <w:lang w:val="en-US"/>
        </w:rPr>
        <w:t>.</w:t>
      </w:r>
      <w:r w:rsidRPr="00D90111">
        <w:rPr>
          <w:rFonts w:ascii="Times New Roman" w:hAnsi="Times New Roman" w:cs="Times New Roman"/>
          <w:sz w:val="24"/>
          <w:szCs w:val="24"/>
        </w:rPr>
        <w:t>В</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Стратиенко</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В</w:t>
      </w:r>
      <w:r w:rsidRPr="00D90111">
        <w:rPr>
          <w:rFonts w:ascii="Times New Roman" w:hAnsi="Times New Roman" w:cs="Times New Roman"/>
          <w:sz w:val="24"/>
          <w:szCs w:val="24"/>
          <w:lang w:val="en-US"/>
        </w:rPr>
        <w:t>.</w:t>
      </w:r>
      <w:r w:rsidRPr="00D90111">
        <w:rPr>
          <w:rFonts w:ascii="Times New Roman" w:hAnsi="Times New Roman" w:cs="Times New Roman"/>
          <w:sz w:val="24"/>
          <w:szCs w:val="24"/>
        </w:rPr>
        <w:t>А</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Фокусировка</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скомпенсированного</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неоднородного</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пучка</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электронов</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 xml:space="preserve">Радиофизика и электроника, Харьков, ИРЕ НАНУ, 1998, т. 3, №1, с. 94...95.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Стратиенко В.А., Адаменко С.В. и др. Получение и использование плотных микропучков и вторичных излучений. ВАНТ, серия: Ядерно-физические исследования. 1997 г., вып. 4-5(31,32), с. 163.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Bain C.R. et al. Phys. Lett. B373, 1996, p. 35. </w:t>
      </w:r>
    </w:p>
    <w:p w:rsidR="00906E68" w:rsidRPr="00D90111" w:rsidRDefault="00906E68" w:rsidP="00906E68">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Пруссов П.Д., Некрашевич Н.Г., Бандурко А.Ф. Виртуальный мир в компьютере и Интернете, 2005.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E68"/>
    <w:rsid w:val="00012F38"/>
    <w:rsid w:val="003E2EE0"/>
    <w:rsid w:val="0050390D"/>
    <w:rsid w:val="007C4376"/>
    <w:rsid w:val="007F6CFC"/>
    <w:rsid w:val="00906E68"/>
    <w:rsid w:val="00A2214D"/>
    <w:rsid w:val="00D90111"/>
    <w:rsid w:val="00E51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31532C-A097-4914-AF8C-B1810DBB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E68"/>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6E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6293</Words>
  <Characters>35871</Characters>
  <Application>Microsoft Office Word</Application>
  <DocSecurity>0</DocSecurity>
  <Lines>298</Lines>
  <Paragraphs>84</Paragraphs>
  <ScaleCrop>false</ScaleCrop>
  <Company>Home</Company>
  <LinksUpToDate>false</LinksUpToDate>
  <CharactersWithSpaces>42080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Эфир: структура и ядерные силы</dc:title>
  <dc:subject/>
  <dc:creator>Alena</dc:creator>
  <cp:keywords/>
  <dc:description/>
  <cp:lastModifiedBy>admin</cp:lastModifiedBy>
  <cp:revision>2</cp:revision>
  <dcterms:created xsi:type="dcterms:W3CDTF">2014-02-19T17:32:00Z</dcterms:created>
  <dcterms:modified xsi:type="dcterms:W3CDTF">2014-02-19T17:32:00Z</dcterms:modified>
</cp:coreProperties>
</file>