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F5130" w:rsidRPr="00DF5130" w:rsidRDefault="00DF5130" w:rsidP="00DF513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565E5" w:rsidRPr="00DF5130" w:rsidRDefault="00DE5193" w:rsidP="00DF5130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t>Экономические п</w:t>
      </w:r>
      <w:r w:rsidR="00C360EA" w:rsidRPr="00DF5130">
        <w:rPr>
          <w:b/>
          <w:bCs/>
          <w:noProof/>
          <w:color w:val="000000"/>
          <w:sz w:val="28"/>
          <w:szCs w:val="28"/>
        </w:rPr>
        <w:t>реимущества п</w:t>
      </w:r>
      <w:r w:rsidR="002565E5" w:rsidRPr="00DF5130">
        <w:rPr>
          <w:b/>
          <w:bCs/>
          <w:noProof/>
          <w:color w:val="000000"/>
          <w:sz w:val="28"/>
          <w:szCs w:val="28"/>
        </w:rPr>
        <w:t>рименения тепловых гидродинамических насосов</w:t>
      </w:r>
    </w:p>
    <w:p w:rsidR="008369D7" w:rsidRPr="00DF5130" w:rsidRDefault="006F19D8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br w:type="page"/>
      </w:r>
      <w:r w:rsidR="004A1E0C" w:rsidRPr="00DF5130">
        <w:rPr>
          <w:noProof/>
          <w:color w:val="000000"/>
          <w:sz w:val="28"/>
          <w:szCs w:val="28"/>
        </w:rPr>
        <w:t>При приобретении нового оборудования о</w:t>
      </w:r>
      <w:r w:rsidR="002565E5" w:rsidRPr="00DF5130">
        <w:rPr>
          <w:noProof/>
          <w:color w:val="000000"/>
          <w:sz w:val="28"/>
          <w:szCs w:val="28"/>
        </w:rPr>
        <w:t xml:space="preserve">дним из основных критериев выбора является </w:t>
      </w:r>
      <w:r w:rsidR="00B943B0" w:rsidRPr="00DF5130">
        <w:rPr>
          <w:noProof/>
          <w:color w:val="000000"/>
          <w:sz w:val="28"/>
          <w:szCs w:val="28"/>
        </w:rPr>
        <w:t xml:space="preserve">его </w:t>
      </w:r>
      <w:r w:rsidR="006A7078" w:rsidRPr="00DF5130">
        <w:rPr>
          <w:noProof/>
          <w:color w:val="000000"/>
          <w:sz w:val="28"/>
          <w:szCs w:val="28"/>
        </w:rPr>
        <w:t>экономическая эффективность</w:t>
      </w:r>
      <w:r w:rsidR="002565E5" w:rsidRPr="00DF5130">
        <w:rPr>
          <w:noProof/>
          <w:color w:val="000000"/>
          <w:sz w:val="28"/>
          <w:szCs w:val="28"/>
        </w:rPr>
        <w:t>.</w:t>
      </w:r>
      <w:r w:rsidR="004A1E0C" w:rsidRPr="00DF5130">
        <w:rPr>
          <w:noProof/>
          <w:color w:val="000000"/>
          <w:sz w:val="28"/>
          <w:szCs w:val="28"/>
        </w:rPr>
        <w:t xml:space="preserve"> </w:t>
      </w:r>
      <w:r w:rsidR="002565E5" w:rsidRPr="00DF5130">
        <w:rPr>
          <w:noProof/>
          <w:color w:val="000000"/>
          <w:sz w:val="28"/>
          <w:szCs w:val="28"/>
        </w:rPr>
        <w:t xml:space="preserve">Однако часто встречающийся узкий подход – сравнение </w:t>
      </w:r>
      <w:r w:rsidR="00D55CC7" w:rsidRPr="00DF5130">
        <w:rPr>
          <w:noProof/>
          <w:color w:val="000000"/>
          <w:sz w:val="28"/>
          <w:szCs w:val="28"/>
        </w:rPr>
        <w:t xml:space="preserve">только </w:t>
      </w:r>
      <w:r w:rsidR="002565E5" w:rsidRPr="00DF5130">
        <w:rPr>
          <w:noProof/>
          <w:color w:val="000000"/>
          <w:sz w:val="28"/>
          <w:szCs w:val="28"/>
        </w:rPr>
        <w:t xml:space="preserve">вариантов </w:t>
      </w:r>
      <w:r w:rsidR="004A1E0C" w:rsidRPr="00DF5130">
        <w:rPr>
          <w:noProof/>
          <w:color w:val="000000"/>
          <w:sz w:val="28"/>
          <w:szCs w:val="28"/>
        </w:rPr>
        <w:t xml:space="preserve">стоимости </w:t>
      </w:r>
      <w:r w:rsidR="002565E5" w:rsidRPr="00DF5130">
        <w:rPr>
          <w:noProof/>
          <w:color w:val="000000"/>
          <w:sz w:val="28"/>
          <w:szCs w:val="28"/>
        </w:rPr>
        <w:t xml:space="preserve">вновь приобретаемого оборудования, приводит к значительным финансовым потерям </w:t>
      </w:r>
      <w:r w:rsidR="00BA78A1" w:rsidRPr="00DF5130">
        <w:rPr>
          <w:noProof/>
          <w:color w:val="000000"/>
          <w:sz w:val="28"/>
          <w:szCs w:val="28"/>
        </w:rPr>
        <w:t xml:space="preserve">на этапах </w:t>
      </w:r>
      <w:r w:rsidR="002565E5" w:rsidRPr="00DF5130">
        <w:rPr>
          <w:noProof/>
          <w:color w:val="000000"/>
          <w:sz w:val="28"/>
          <w:szCs w:val="28"/>
        </w:rPr>
        <w:t>монтаж</w:t>
      </w:r>
      <w:r w:rsidR="00BA78A1" w:rsidRPr="00DF5130">
        <w:rPr>
          <w:noProof/>
          <w:color w:val="000000"/>
          <w:sz w:val="28"/>
          <w:szCs w:val="28"/>
        </w:rPr>
        <w:t>а</w:t>
      </w:r>
      <w:r w:rsidR="002565E5" w:rsidRPr="00DF5130">
        <w:rPr>
          <w:noProof/>
          <w:color w:val="000000"/>
          <w:sz w:val="28"/>
          <w:szCs w:val="28"/>
        </w:rPr>
        <w:t xml:space="preserve"> и эксплуатации. </w:t>
      </w:r>
      <w:r w:rsidR="008369D7" w:rsidRPr="00DF5130">
        <w:rPr>
          <w:noProof/>
          <w:color w:val="000000"/>
          <w:sz w:val="28"/>
          <w:szCs w:val="28"/>
        </w:rPr>
        <w:t xml:space="preserve">Для выбора оптимального варианта необходима комплексная оценка </w:t>
      </w:r>
      <w:r w:rsidR="00AC46F8" w:rsidRPr="00DF5130">
        <w:rPr>
          <w:noProof/>
          <w:color w:val="000000"/>
          <w:sz w:val="28"/>
          <w:szCs w:val="28"/>
        </w:rPr>
        <w:t xml:space="preserve">всех </w:t>
      </w:r>
      <w:r w:rsidR="008369D7" w:rsidRPr="00DF5130">
        <w:rPr>
          <w:noProof/>
          <w:color w:val="000000"/>
          <w:sz w:val="28"/>
          <w:szCs w:val="28"/>
        </w:rPr>
        <w:t>затрат.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</w:p>
    <w:p w:rsidR="001000C2" w:rsidRPr="00DF5130" w:rsidRDefault="001000C2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Затраты на отопление, теплоснабжение и ГВС можно разделить на три группы:</w:t>
      </w:r>
    </w:p>
    <w:p w:rsidR="001000C2" w:rsidRPr="00DF5130" w:rsidRDefault="001000C2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- капитальные затраты;</w:t>
      </w:r>
    </w:p>
    <w:p w:rsidR="001000C2" w:rsidRPr="00DF5130" w:rsidRDefault="001000C2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- текущие эксплуатационные затраты;</w:t>
      </w:r>
    </w:p>
    <w:p w:rsidR="001000C2" w:rsidRPr="00DF5130" w:rsidRDefault="001000C2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- затраты на энергоноситель.</w:t>
      </w:r>
    </w:p>
    <w:p w:rsidR="008C7C96" w:rsidRPr="00DF5130" w:rsidRDefault="00B5561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Но прежде, чем приступить к оценке затрат необходимо сделать выбор между централизованным и автономным </w:t>
      </w:r>
      <w:r w:rsidR="00FE227B" w:rsidRPr="00DF5130">
        <w:rPr>
          <w:noProof/>
          <w:color w:val="000000"/>
          <w:sz w:val="28"/>
          <w:szCs w:val="28"/>
        </w:rPr>
        <w:t xml:space="preserve">видом </w:t>
      </w:r>
      <w:r w:rsidRPr="00DF5130">
        <w:rPr>
          <w:noProof/>
          <w:color w:val="000000"/>
          <w:sz w:val="28"/>
          <w:szCs w:val="28"/>
        </w:rPr>
        <w:t>отоплени</w:t>
      </w:r>
      <w:r w:rsidR="00FE227B" w:rsidRPr="00DF5130">
        <w:rPr>
          <w:noProof/>
          <w:color w:val="000000"/>
          <w:sz w:val="28"/>
          <w:szCs w:val="28"/>
        </w:rPr>
        <w:t>я</w:t>
      </w:r>
      <w:r w:rsidRPr="00DF5130">
        <w:rPr>
          <w:noProof/>
          <w:color w:val="000000"/>
          <w:sz w:val="28"/>
          <w:szCs w:val="28"/>
        </w:rPr>
        <w:t>.</w:t>
      </w:r>
    </w:p>
    <w:p w:rsidR="008C5FFC" w:rsidRPr="00DF5130" w:rsidRDefault="008C5FFC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В плановом советском хозяйстве автономное теплоснабжение практически не развивалось, поскольку это не соответствовало государственной идеологии. Предпочтение отдавалось объектам, обслуживающим целые города. Львиная доля средств затрачивалась на строительство гигантских ТЭЦ, а котельные малой и средней мощности оставались на периферии государственных интересов в коммунальном теплоснабжении. Кроме того, развитие малой и средней энергетики существенно тормозила государственная политика в сфере цен на энергоресурсы. Из-за дешевизны основных видов топлива производители не нуждались в передовом ресурсосберегающем оборудовании.</w:t>
      </w:r>
    </w:p>
    <w:p w:rsidR="008C5FFC" w:rsidRPr="00DF5130" w:rsidRDefault="008C5FFC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 переходом к рыночной экономике ориентиры в российской энергетике изменились. Мощность действующих ТЭЦ с 1992 г. по 2006 г. уменьшилась с 725 млн. Гкал до 474 млн. Гкал. В то же время выросла выработка энергии на низкоэффективных котельных, оснащенных устаревшим оборудованием.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</w:p>
    <w:p w:rsidR="001D2A60" w:rsidRPr="00DF5130" w:rsidRDefault="001D2A6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При подключении объекта к существующей централизованной системе теплоснабжения капитальные затраты на прокладку теплотрассы и оборудование теплового пункта ориентировочно составляют 1,7 ÷ 3,95 млн. рублей, в том числе:</w:t>
      </w:r>
    </w:p>
    <w:p w:rsidR="001D2A60" w:rsidRPr="00DF5130" w:rsidRDefault="001D2A60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на прокладку теплотрассы при ее удаленности на расстояние 500 м – от 1,5 до 3,75 млн. рублей. По разным данным стоимость прокладки 1 метра современной теплотрассы (трубы с пенополиуретановой теплоизоляцией) составляет от 3000 до 7500 руб.; </w:t>
      </w:r>
    </w:p>
    <w:p w:rsidR="001D2A60" w:rsidRPr="00DF5130" w:rsidRDefault="001D2A60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на закупку и монтаж оборудования для теплового пункта порядка 200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000 тыс. рублей.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</w:p>
    <w:p w:rsidR="008C7C96" w:rsidRPr="00DF5130" w:rsidRDefault="00F83F8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</w:t>
      </w:r>
      <w:r w:rsidR="008C7C96" w:rsidRPr="00DF5130">
        <w:rPr>
          <w:noProof/>
          <w:color w:val="000000"/>
          <w:sz w:val="28"/>
          <w:szCs w:val="28"/>
        </w:rPr>
        <w:t xml:space="preserve">амый простой способ сделать систему отопления энергосберегающей – приблизить производство тепла, к потребителю этого тепла и не терять его в изношенных теплотрассах. Себестоимость тепла практически повсеместно значительно ниже цены тепла, покупаемого «со стороны». Намного перспективней тратить деньги на свое собственное развитие, а не на развитие другого предприятия, являющегося, как правило, монополистом. </w:t>
      </w:r>
    </w:p>
    <w:p w:rsidR="008C7C96" w:rsidRPr="00DF5130" w:rsidRDefault="008C7C9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Второй вопрос, на который необходимо ответить: какой вид энергоносителя выбрать? Существующие виды автономного теплового оборудования по виду энергоносителя можно подразделить на: твердотопливные (уголь, дрова), на жидком топливе (мазут, дизельное топливо), газовые</w:t>
      </w:r>
      <w:r w:rsidR="00256DF8" w:rsidRPr="00DF5130">
        <w:rPr>
          <w:noProof/>
          <w:color w:val="000000"/>
          <w:sz w:val="28"/>
          <w:szCs w:val="28"/>
        </w:rPr>
        <w:t xml:space="preserve"> и</w:t>
      </w:r>
      <w:r w:rsidRPr="00DF5130">
        <w:rPr>
          <w:noProof/>
          <w:color w:val="000000"/>
          <w:sz w:val="28"/>
          <w:szCs w:val="28"/>
        </w:rPr>
        <w:t xml:space="preserve"> электрические (ТЭНы, электродные, индукционные и т.д.). Каждый вид оборудования имеет свои достоинства и недостатки и находит своего потребителя.</w:t>
      </w:r>
    </w:p>
    <w:p w:rsidR="008C7C96" w:rsidRPr="00DF5130" w:rsidRDefault="008C7C9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Основными типами оборудования для децентрализованных систем, на которые по большей части и ориентируются при разработке последних, являются достаточно традиционные нагревательные устройства, основанные на прямом нагреве теплоносителя. Однако, как отмечают многие специалисты, такие устройства обладают целым рядом недостатков, снижающими их конкурентоспособность по сравнению с централизованными системами теплоснабжения. Среди них: более высокий удельный расход топлива и потенциально более высокая опасность в эксплуатации. Кроме этого при эксплуатации твердотопливных котлов необходимо доставлять, разгружать и хранить топливо, утилизировать шлаки, устанавливать и эксплуатировать очистные системы. </w:t>
      </w:r>
      <w:r w:rsidR="009C5AB7" w:rsidRPr="00DF5130">
        <w:rPr>
          <w:noProof/>
          <w:color w:val="000000"/>
          <w:sz w:val="28"/>
          <w:szCs w:val="28"/>
        </w:rPr>
        <w:t xml:space="preserve">За утилизацию шлаков необходимо вносить значительную </w:t>
      </w:r>
      <w:r w:rsidR="00501964" w:rsidRPr="00DF5130">
        <w:rPr>
          <w:noProof/>
          <w:color w:val="000000"/>
          <w:sz w:val="28"/>
          <w:szCs w:val="28"/>
        </w:rPr>
        <w:t>«</w:t>
      </w:r>
      <w:r w:rsidR="009C5AB7" w:rsidRPr="00DF5130">
        <w:rPr>
          <w:noProof/>
          <w:color w:val="000000"/>
          <w:sz w:val="28"/>
          <w:szCs w:val="28"/>
        </w:rPr>
        <w:t>плату за негативное воздействие на окружающую среду</w:t>
      </w:r>
      <w:r w:rsidR="00501964" w:rsidRPr="00DF5130">
        <w:rPr>
          <w:noProof/>
          <w:color w:val="000000"/>
          <w:sz w:val="28"/>
          <w:szCs w:val="28"/>
        </w:rPr>
        <w:t>»</w:t>
      </w:r>
      <w:r w:rsidR="009C5AB7" w:rsidRPr="00DF5130">
        <w:rPr>
          <w:noProof/>
          <w:color w:val="000000"/>
          <w:sz w:val="28"/>
          <w:szCs w:val="28"/>
        </w:rPr>
        <w:t xml:space="preserve">. </w:t>
      </w:r>
      <w:r w:rsidRPr="00DF5130">
        <w:rPr>
          <w:noProof/>
          <w:color w:val="000000"/>
          <w:sz w:val="28"/>
          <w:szCs w:val="28"/>
        </w:rPr>
        <w:t xml:space="preserve">Кочегары должны работать в три смены, что значительно увеличивает эксплуатационные расходы. Использование котлов на жидком топливе снимает часть проблем, однако стоимость жидкого топлива значительно выше, чем твердого. </w:t>
      </w:r>
    </w:p>
    <w:p w:rsidR="008C7C96" w:rsidRPr="00DF5130" w:rsidRDefault="008C7C9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При выборе теплового оборудования все большее внимание уделяется экологической безопасности. Тепловое оборудование на твердом и жидком топливе во многих случаях не проходит по критерию экологической безопасности, так как при сгорании этих видов топлива выделяется много вредных веществ, а при сгорании твердого топлива еще остается большое количество шлаков, которые необходимо утилизировать. </w:t>
      </w:r>
    </w:p>
    <w:p w:rsidR="008C7C96" w:rsidRPr="00DF5130" w:rsidRDefault="008C7C9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Поэтому реально в</w:t>
      </w:r>
      <w:r w:rsidR="00AA4396" w:rsidRPr="00DF5130">
        <w:rPr>
          <w:noProof/>
          <w:color w:val="000000"/>
          <w:sz w:val="28"/>
          <w:szCs w:val="28"/>
        </w:rPr>
        <w:t xml:space="preserve">о многих </w:t>
      </w:r>
      <w:r w:rsidRPr="00DF5130">
        <w:rPr>
          <w:noProof/>
          <w:color w:val="000000"/>
          <w:sz w:val="28"/>
          <w:szCs w:val="28"/>
        </w:rPr>
        <w:t>случа</w:t>
      </w:r>
      <w:r w:rsidR="00AA4396" w:rsidRPr="00DF5130">
        <w:rPr>
          <w:noProof/>
          <w:color w:val="000000"/>
          <w:sz w:val="28"/>
          <w:szCs w:val="28"/>
        </w:rPr>
        <w:t>ях</w:t>
      </w:r>
      <w:r w:rsidRPr="00DF5130">
        <w:rPr>
          <w:noProof/>
          <w:color w:val="000000"/>
          <w:sz w:val="28"/>
          <w:szCs w:val="28"/>
        </w:rPr>
        <w:t xml:space="preserve"> выбор стоит между газом и электричеством.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</w:p>
    <w:p w:rsidR="00616A5A" w:rsidRPr="00DF5130" w:rsidRDefault="00616A5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t>Капитальные затраты</w:t>
      </w:r>
      <w:r w:rsidRPr="00DF5130">
        <w:rPr>
          <w:noProof/>
          <w:color w:val="000000"/>
          <w:sz w:val="28"/>
          <w:szCs w:val="28"/>
        </w:rPr>
        <w:t xml:space="preserve"> на строительство газовой котельной значительно выше, чем при применении электронагревательного оборудования. Например, на сайте </w:t>
      </w:r>
      <w:r w:rsidR="00256DF8" w:rsidRPr="00DF5130">
        <w:rPr>
          <w:noProof/>
          <w:color w:val="000000"/>
          <w:sz w:val="28"/>
          <w:szCs w:val="28"/>
        </w:rPr>
        <w:t xml:space="preserve">одной </w:t>
      </w:r>
      <w:r w:rsidRPr="00DF5130">
        <w:rPr>
          <w:noProof/>
          <w:color w:val="000000"/>
          <w:sz w:val="28"/>
          <w:szCs w:val="28"/>
        </w:rPr>
        <w:t>компании, предоставляющей услуги по газификации промышленных объектов и частных домов в Московской области, приведен перечень выполняемых компанией работ при газификации объекта: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оформление подключения газа, подготовка необходимых первичных документов для подачи заявки на газификацию объекта (оформляются необходимые документы на подключение газа, определяется стоимость подключения газа, цены);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получение технических условий (оформление земля, коттедж, газ);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оформление газа и составление проектной документации (на этом этапе определяется газовый трест);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проектирование газоснабжения дома, или проектирование газоснабжения коттеджа, согласование и утверждение проекта; 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согласование схемы подключения газа в соответствующих государственных инстанциях;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монтаж газовой трубы от газовой магистрали к объекту, подключение магистрального газа, подведение газа;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врезка газа в газовую магистраль;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приемка объекта специалистами газовых и противопожарных служб, оформление газа;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сдача объекта в эксплуатацию.</w:t>
      </w:r>
    </w:p>
    <w:p w:rsidR="00616A5A" w:rsidRPr="00DF5130" w:rsidRDefault="00616A5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Стоимость работ по подключению к газовой магистрали объекта и тепловой мощностью 90÷100 кВт и оснащение его необходимым оборудованием ориентировочно может составить 10,3 млн. рублей, в том числе: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подготовка и согласование проектной и разрешительной документации – 5 млн. рублей;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прокладка газопровода (с учетом всех затрат на материалы, оборудование и работы) – 10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тыс. руб. за 1 метр, при расстоянии 500 м затраты на прокладку составят 5 млн. рублей;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затраты на установку и подключение газового оборудования (включая приемку объекта газовой службы и противопожарной службы) - 20÷50 тыс. рублей;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затраты на приобретения котла мощностью 90 кВт с комплектом автоматики - 200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тыс. руб.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затраты на установку и подключение котла (включая приемку газовой службой) – 45 тыс. рублей;</w:t>
      </w:r>
    </w:p>
    <w:p w:rsidR="00616A5A" w:rsidRPr="00DF5130" w:rsidRDefault="00616A5A" w:rsidP="00DF513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top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приобретение и установка дымохода (из нержавеющей стали) – 60 тыс. рублей. </w:t>
      </w:r>
    </w:p>
    <w:p w:rsidR="00616A5A" w:rsidRPr="00DF5130" w:rsidRDefault="00616A5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Сроки реализации проекта газификации объекта с учетом получения всех согласований и разрешений составляют в среднем 1,5 года. При этом газовый трест может и не дать разрешения на подключение объекта к магистральному газопроводу.</w:t>
      </w:r>
    </w:p>
    <w:p w:rsidR="00737F4F" w:rsidRPr="00DF5130" w:rsidRDefault="00737F4F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Тепловые гидродинамические насосы не требуют разрешения на применение от Федеральной службы по экологическому, технологическому и атомному надзору</w:t>
      </w:r>
      <w:r w:rsidRPr="00DF5130">
        <w:rPr>
          <w:b/>
          <w:bCs/>
          <w:noProof/>
          <w:color w:val="000000"/>
          <w:sz w:val="28"/>
          <w:szCs w:val="28"/>
        </w:rPr>
        <w:t xml:space="preserve"> (письмо Управления государственного энергетического надзора исх. №</w:t>
      </w:r>
      <w:r w:rsidR="00DF5130" w:rsidRPr="00DF5130">
        <w:rPr>
          <w:b/>
          <w:bCs/>
          <w:noProof/>
          <w:color w:val="000000"/>
          <w:sz w:val="28"/>
          <w:szCs w:val="28"/>
        </w:rPr>
        <w:t xml:space="preserve"> </w:t>
      </w:r>
      <w:r w:rsidRPr="00DF5130">
        <w:rPr>
          <w:b/>
          <w:bCs/>
          <w:noProof/>
          <w:color w:val="000000"/>
          <w:sz w:val="28"/>
          <w:szCs w:val="28"/>
        </w:rPr>
        <w:t>10-05/2845 от 26 сентября 2007 г.).</w:t>
      </w:r>
      <w:r w:rsidR="00677627" w:rsidRPr="00DF5130">
        <w:rPr>
          <w:b/>
          <w:bCs/>
          <w:noProof/>
          <w:color w:val="000000"/>
          <w:sz w:val="28"/>
          <w:szCs w:val="28"/>
        </w:rPr>
        <w:t xml:space="preserve"> </w:t>
      </w:r>
      <w:r w:rsidR="00677627" w:rsidRPr="00DF5130">
        <w:rPr>
          <w:noProof/>
          <w:color w:val="000000"/>
          <w:sz w:val="28"/>
          <w:szCs w:val="28"/>
        </w:rPr>
        <w:t>При наличии свободной электрической мощности объект может быть обеспечен теплом в минимальный срок.</w:t>
      </w:r>
    </w:p>
    <w:p w:rsidR="001240F9" w:rsidRPr="00DF5130" w:rsidRDefault="009D4437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t>Эксплуатационные расходы</w:t>
      </w:r>
      <w:r w:rsidRPr="00DF5130">
        <w:rPr>
          <w:noProof/>
          <w:color w:val="000000"/>
          <w:sz w:val="28"/>
          <w:szCs w:val="28"/>
        </w:rPr>
        <w:t xml:space="preserve"> на отопление, теплоснабжение и ГВС при использовании электронагревательных устройств также значительно ниже, чем для газовых котлов. Это вызвано тем, что электронагревательные устройства пожаро-, взрыво- безопасны, не производят вредных выбросов. Поэтому в отличие от газовых котельных, нет необходимости в использовании и обслуживании систем пожаро- взрыво- безопасности и устройств </w:t>
      </w:r>
      <w:r w:rsidR="008636BD" w:rsidRPr="00DF5130">
        <w:rPr>
          <w:noProof/>
          <w:color w:val="000000"/>
          <w:sz w:val="28"/>
          <w:szCs w:val="28"/>
        </w:rPr>
        <w:t xml:space="preserve">предотвращающих вредные выбросы, соответственно нет необходимости </w:t>
      </w:r>
      <w:r w:rsidR="003665DE" w:rsidRPr="00DF5130">
        <w:rPr>
          <w:noProof/>
          <w:color w:val="000000"/>
          <w:sz w:val="28"/>
          <w:szCs w:val="28"/>
        </w:rPr>
        <w:t>в расходных материалах и запасных частях к ним, в оплате специалистов, обслуживающих эти системы.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="001240F9" w:rsidRPr="00DF5130">
        <w:rPr>
          <w:noProof/>
          <w:color w:val="000000"/>
          <w:sz w:val="28"/>
          <w:szCs w:val="28"/>
        </w:rPr>
        <w:t xml:space="preserve">Газовые котельные должны обслуживаться персоналом со специальным допуском, состояние оборудования регулярно проверяется многочисленными контролирующими органами и т.д. Эксплуатация тепловых установок с электрической мощностью до 100 кВт осуществляется без лицензии </w:t>
      </w:r>
      <w:r w:rsidR="001240F9" w:rsidRPr="00DF5130">
        <w:rPr>
          <w:b/>
          <w:bCs/>
          <w:noProof/>
          <w:color w:val="000000"/>
          <w:sz w:val="28"/>
          <w:szCs w:val="28"/>
        </w:rPr>
        <w:t>(ФЗ № 28-ФЗ от 03.04.96 г)</w:t>
      </w:r>
      <w:r w:rsidR="001240F9" w:rsidRPr="00DF5130">
        <w:rPr>
          <w:noProof/>
          <w:color w:val="000000"/>
          <w:sz w:val="28"/>
          <w:szCs w:val="28"/>
        </w:rPr>
        <w:t>. Они просты в техническом обслуживании,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="001240F9" w:rsidRPr="00DF5130">
        <w:rPr>
          <w:noProof/>
          <w:color w:val="000000"/>
          <w:sz w:val="28"/>
          <w:szCs w:val="28"/>
        </w:rPr>
        <w:t xml:space="preserve">их может обслуживать электрик без специального допуска. </w:t>
      </w:r>
    </w:p>
    <w:p w:rsidR="001240F9" w:rsidRPr="00DF5130" w:rsidRDefault="001240F9" w:rsidP="00DF5130">
      <w:pPr>
        <w:spacing w:line="360" w:lineRule="auto"/>
        <w:ind w:firstLine="709"/>
        <w:jc w:val="both"/>
        <w:rPr>
          <w:rStyle w:val="smalltitle1"/>
          <w:b w:val="0"/>
          <w:bCs w:val="0"/>
          <w:caps w:val="0"/>
          <w:noProof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t>Затраты на энергоноситель.</w:t>
      </w:r>
      <w:r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rStyle w:val="smalltitle1"/>
          <w:b w:val="0"/>
          <w:bCs w:val="0"/>
          <w:caps w:val="0"/>
          <w:noProof/>
          <w:sz w:val="28"/>
          <w:szCs w:val="28"/>
        </w:rPr>
        <w:t>Не топливо должно быть дешевым, а тепло, которые потребители получают во время зимних вьюг.</w:t>
      </w:r>
    </w:p>
    <w:p w:rsidR="001240F9" w:rsidRPr="00DF5130" w:rsidRDefault="002F23C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По сравнению с тарифами на электроэнергию, т</w:t>
      </w:r>
      <w:r w:rsidR="001240F9" w:rsidRPr="00DF5130">
        <w:rPr>
          <w:noProof/>
          <w:color w:val="000000"/>
          <w:sz w:val="28"/>
          <w:szCs w:val="28"/>
        </w:rPr>
        <w:t>ариф</w:t>
      </w:r>
      <w:r w:rsidRPr="00DF5130">
        <w:rPr>
          <w:noProof/>
          <w:color w:val="000000"/>
          <w:sz w:val="28"/>
          <w:szCs w:val="28"/>
        </w:rPr>
        <w:t>ы</w:t>
      </w:r>
      <w:r w:rsidR="001240F9" w:rsidRPr="00DF5130">
        <w:rPr>
          <w:noProof/>
          <w:color w:val="000000"/>
          <w:sz w:val="28"/>
          <w:szCs w:val="28"/>
        </w:rPr>
        <w:t xml:space="preserve"> на газ </w:t>
      </w:r>
      <w:r w:rsidRPr="00DF5130">
        <w:rPr>
          <w:noProof/>
          <w:color w:val="000000"/>
          <w:sz w:val="28"/>
          <w:szCs w:val="28"/>
        </w:rPr>
        <w:t xml:space="preserve">растут опережающими темпами. </w:t>
      </w:r>
      <w:r w:rsidR="001240F9" w:rsidRPr="00DF5130">
        <w:rPr>
          <w:noProof/>
          <w:color w:val="000000"/>
          <w:sz w:val="28"/>
          <w:szCs w:val="28"/>
        </w:rPr>
        <w:t>Тарифы на электроэнергию для населения предполагается повы</w:t>
      </w:r>
      <w:r w:rsidRPr="00DF5130">
        <w:rPr>
          <w:noProof/>
          <w:color w:val="000000"/>
          <w:sz w:val="28"/>
          <w:szCs w:val="28"/>
        </w:rPr>
        <w:t>шать</w:t>
      </w:r>
      <w:r w:rsidR="001240F9" w:rsidRPr="00DF5130">
        <w:rPr>
          <w:noProof/>
          <w:color w:val="000000"/>
          <w:sz w:val="28"/>
          <w:szCs w:val="28"/>
        </w:rPr>
        <w:t xml:space="preserve"> в 2009-2011 годах - на 25 процентов ежегодно. Цены на газ, отпускаемый населению, увеличатся в </w:t>
      </w:r>
      <w:r w:rsidR="00A252E5" w:rsidRPr="00DF5130">
        <w:rPr>
          <w:noProof/>
          <w:color w:val="000000"/>
          <w:sz w:val="28"/>
          <w:szCs w:val="28"/>
        </w:rPr>
        <w:t xml:space="preserve">2009 </w:t>
      </w:r>
      <w:r w:rsidR="001240F9" w:rsidRPr="00DF5130">
        <w:rPr>
          <w:noProof/>
          <w:color w:val="000000"/>
          <w:sz w:val="28"/>
          <w:szCs w:val="28"/>
        </w:rPr>
        <w:t xml:space="preserve">году на 25 процентов, в 2010 году - на 30 процентов, а в 2011 - на 40 процентов </w:t>
      </w:r>
      <w:r w:rsidR="001240F9" w:rsidRPr="00DF5130">
        <w:rPr>
          <w:b/>
          <w:bCs/>
          <w:noProof/>
          <w:color w:val="000000"/>
          <w:sz w:val="28"/>
          <w:szCs w:val="28"/>
        </w:rPr>
        <w:t>(заявление заместителя главы Минэкономразвития Андрея Клепача 06.05.2008 г.)</w:t>
      </w:r>
      <w:r w:rsidR="001240F9" w:rsidRPr="00DF5130">
        <w:rPr>
          <w:noProof/>
          <w:color w:val="000000"/>
          <w:sz w:val="28"/>
          <w:szCs w:val="28"/>
        </w:rPr>
        <w:t>. Кроме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="001240F9" w:rsidRPr="00DF5130">
        <w:rPr>
          <w:noProof/>
          <w:color w:val="000000"/>
          <w:sz w:val="28"/>
          <w:szCs w:val="28"/>
        </w:rPr>
        <w:t xml:space="preserve">этого, </w:t>
      </w:r>
      <w:r w:rsidRPr="00DF5130">
        <w:rPr>
          <w:noProof/>
          <w:color w:val="000000"/>
          <w:sz w:val="28"/>
          <w:szCs w:val="28"/>
        </w:rPr>
        <w:t xml:space="preserve">расходы на электроэнергию можно снизить при </w:t>
      </w:r>
      <w:r w:rsidR="000922BD" w:rsidRPr="00DF5130">
        <w:rPr>
          <w:noProof/>
          <w:color w:val="000000"/>
          <w:sz w:val="28"/>
          <w:szCs w:val="28"/>
        </w:rPr>
        <w:t>использовании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="001240F9" w:rsidRPr="00DF5130">
        <w:rPr>
          <w:noProof/>
          <w:color w:val="000000"/>
          <w:sz w:val="28"/>
          <w:szCs w:val="28"/>
        </w:rPr>
        <w:t>многотарифны</w:t>
      </w:r>
      <w:r w:rsidRPr="00DF5130">
        <w:rPr>
          <w:noProof/>
          <w:color w:val="000000"/>
          <w:sz w:val="28"/>
          <w:szCs w:val="28"/>
        </w:rPr>
        <w:t>х</w:t>
      </w:r>
      <w:r w:rsidR="001240F9" w:rsidRPr="00DF5130">
        <w:rPr>
          <w:noProof/>
          <w:color w:val="000000"/>
          <w:sz w:val="28"/>
          <w:szCs w:val="28"/>
        </w:rPr>
        <w:t xml:space="preserve"> электросчетчик</w:t>
      </w:r>
      <w:r w:rsidRPr="00DF5130">
        <w:rPr>
          <w:noProof/>
          <w:color w:val="000000"/>
          <w:sz w:val="28"/>
          <w:szCs w:val="28"/>
        </w:rPr>
        <w:t>ов</w:t>
      </w:r>
      <w:r w:rsidR="001240F9" w:rsidRPr="00DF5130">
        <w:rPr>
          <w:noProof/>
          <w:color w:val="000000"/>
          <w:sz w:val="28"/>
          <w:szCs w:val="28"/>
        </w:rPr>
        <w:t xml:space="preserve">. Например, на базе отдыха «Дубна», г. Сергиев Посад Московской области, установлены пятитарифные счетчики. Минимальный тариф за 1 кВт-час электроэнергии - 80 коп, максимальный – 5,00 рублей. Нагрев воды для отопления и ГВС </w:t>
      </w:r>
      <w:r w:rsidRPr="00DF5130">
        <w:rPr>
          <w:noProof/>
          <w:color w:val="000000"/>
          <w:sz w:val="28"/>
          <w:szCs w:val="28"/>
        </w:rPr>
        <w:t xml:space="preserve">в накопительной емкости </w:t>
      </w:r>
      <w:r w:rsidR="001240F9" w:rsidRPr="00DF5130">
        <w:rPr>
          <w:noProof/>
          <w:color w:val="000000"/>
          <w:sz w:val="28"/>
          <w:szCs w:val="28"/>
        </w:rPr>
        <w:t>ведется при минимальном тарифе, что резко снижает расходы.</w:t>
      </w:r>
    </w:p>
    <w:p w:rsidR="000C56B8" w:rsidRPr="00DF5130" w:rsidRDefault="000C56B8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Тепловые гидродинамические насосы эффективнее электронагревательных устройств других видов. При подборе мощности ТЭНовых, электродных и других</w:t>
      </w:r>
      <w:r w:rsidR="00AE6F94" w:rsidRPr="00DF5130">
        <w:rPr>
          <w:noProof/>
          <w:color w:val="000000"/>
          <w:sz w:val="28"/>
          <w:szCs w:val="28"/>
        </w:rPr>
        <w:t xml:space="preserve"> электронагревател</w:t>
      </w:r>
      <w:r w:rsidR="000D7879" w:rsidRPr="00DF5130">
        <w:rPr>
          <w:noProof/>
          <w:color w:val="000000"/>
          <w:sz w:val="28"/>
          <w:szCs w:val="28"/>
        </w:rPr>
        <w:t>ьных</w:t>
      </w:r>
      <w:r w:rsidR="00C046FF" w:rsidRPr="00DF5130">
        <w:rPr>
          <w:noProof/>
          <w:color w:val="000000"/>
          <w:sz w:val="28"/>
          <w:szCs w:val="28"/>
        </w:rPr>
        <w:t xml:space="preserve"> устройств</w:t>
      </w:r>
      <w:r w:rsidRPr="00DF5130">
        <w:rPr>
          <w:noProof/>
          <w:color w:val="000000"/>
          <w:sz w:val="28"/>
          <w:szCs w:val="28"/>
        </w:rPr>
        <w:t xml:space="preserve">, в проект закладывается 1 кВт электрической мощности </w:t>
      </w:r>
      <w:r w:rsidR="00AE6F94" w:rsidRPr="00DF5130">
        <w:rPr>
          <w:noProof/>
          <w:color w:val="000000"/>
          <w:sz w:val="28"/>
          <w:szCs w:val="28"/>
        </w:rPr>
        <w:t xml:space="preserve">на 10 кв.м. </w:t>
      </w:r>
      <w:r w:rsidR="0051133F" w:rsidRPr="00DF5130">
        <w:rPr>
          <w:noProof/>
          <w:color w:val="000000"/>
          <w:sz w:val="28"/>
          <w:szCs w:val="28"/>
        </w:rPr>
        <w:t xml:space="preserve">площади </w:t>
      </w:r>
      <w:r w:rsidR="00AE6F94" w:rsidRPr="00DF5130">
        <w:rPr>
          <w:noProof/>
          <w:color w:val="000000"/>
          <w:sz w:val="28"/>
          <w:szCs w:val="28"/>
        </w:rPr>
        <w:t>обогреваемых помещений.</w:t>
      </w:r>
      <w:r w:rsidRPr="00DF5130">
        <w:rPr>
          <w:noProof/>
          <w:color w:val="000000"/>
          <w:sz w:val="28"/>
          <w:szCs w:val="28"/>
        </w:rPr>
        <w:t xml:space="preserve"> При укрупненном подборе мощности тепловых гидродинамических насосов типа «ТС1», 1 кВт установленной мощности должен обогревать 30 кв.м. Поэтому для обогрева помещений требуется меньшая выделенная электрическая мощность, </w:t>
      </w:r>
      <w:r w:rsidR="00501964" w:rsidRPr="00DF5130">
        <w:rPr>
          <w:noProof/>
          <w:color w:val="000000"/>
          <w:sz w:val="28"/>
          <w:szCs w:val="28"/>
        </w:rPr>
        <w:t xml:space="preserve">силовой кабель </w:t>
      </w:r>
      <w:r w:rsidR="00912901" w:rsidRPr="00DF5130">
        <w:rPr>
          <w:noProof/>
          <w:color w:val="000000"/>
          <w:sz w:val="28"/>
          <w:szCs w:val="28"/>
        </w:rPr>
        <w:t xml:space="preserve">значительно </w:t>
      </w:r>
      <w:r w:rsidR="00501964" w:rsidRPr="00DF5130">
        <w:rPr>
          <w:noProof/>
          <w:color w:val="000000"/>
          <w:sz w:val="28"/>
          <w:szCs w:val="28"/>
        </w:rPr>
        <w:t>меньше</w:t>
      </w:r>
      <w:r w:rsidR="00912901" w:rsidRPr="00DF5130">
        <w:rPr>
          <w:noProof/>
          <w:color w:val="000000"/>
          <w:sz w:val="28"/>
          <w:szCs w:val="28"/>
        </w:rPr>
        <w:t>й</w:t>
      </w:r>
      <w:r w:rsidR="00501964" w:rsidRPr="00DF5130">
        <w:rPr>
          <w:noProof/>
          <w:color w:val="000000"/>
          <w:sz w:val="28"/>
          <w:szCs w:val="28"/>
        </w:rPr>
        <w:t xml:space="preserve"> </w:t>
      </w:r>
      <w:r w:rsidR="00912901" w:rsidRPr="00DF5130">
        <w:rPr>
          <w:noProof/>
          <w:color w:val="000000"/>
          <w:sz w:val="28"/>
          <w:szCs w:val="28"/>
        </w:rPr>
        <w:t>стоимости</w:t>
      </w:r>
      <w:r w:rsidR="00501964" w:rsidRPr="00DF5130">
        <w:rPr>
          <w:noProof/>
          <w:color w:val="000000"/>
          <w:sz w:val="28"/>
          <w:szCs w:val="28"/>
        </w:rPr>
        <w:t xml:space="preserve">, </w:t>
      </w:r>
      <w:r w:rsidRPr="00DF5130">
        <w:rPr>
          <w:noProof/>
          <w:color w:val="000000"/>
          <w:sz w:val="28"/>
          <w:szCs w:val="28"/>
        </w:rPr>
        <w:t>что во многих случаях</w:t>
      </w:r>
      <w:r w:rsidR="00982FAD" w:rsidRPr="00DF5130">
        <w:rPr>
          <w:noProof/>
          <w:color w:val="000000"/>
          <w:sz w:val="28"/>
          <w:szCs w:val="28"/>
        </w:rPr>
        <w:t>,</w:t>
      </w:r>
      <w:r w:rsidRPr="00DF5130">
        <w:rPr>
          <w:noProof/>
          <w:color w:val="000000"/>
          <w:sz w:val="28"/>
          <w:szCs w:val="28"/>
        </w:rPr>
        <w:t xml:space="preserve"> при ограничениях на потребление электроэнергии</w:t>
      </w:r>
      <w:r w:rsidR="00982FAD" w:rsidRPr="00DF5130">
        <w:rPr>
          <w:noProof/>
          <w:color w:val="000000"/>
          <w:sz w:val="28"/>
          <w:szCs w:val="28"/>
        </w:rPr>
        <w:t>,</w:t>
      </w:r>
      <w:r w:rsidRPr="00DF5130">
        <w:rPr>
          <w:noProof/>
          <w:color w:val="000000"/>
          <w:sz w:val="28"/>
          <w:szCs w:val="28"/>
        </w:rPr>
        <w:t xml:space="preserve"> является определяющим фактором при выборе </w:t>
      </w:r>
      <w:r w:rsidR="0051133F" w:rsidRPr="00DF5130">
        <w:rPr>
          <w:noProof/>
          <w:color w:val="000000"/>
          <w:sz w:val="28"/>
          <w:szCs w:val="28"/>
        </w:rPr>
        <w:t xml:space="preserve">вида электронагревательного </w:t>
      </w:r>
      <w:r w:rsidRPr="00DF5130">
        <w:rPr>
          <w:noProof/>
          <w:color w:val="000000"/>
          <w:sz w:val="28"/>
          <w:szCs w:val="28"/>
        </w:rPr>
        <w:t xml:space="preserve">оборудования. </w:t>
      </w:r>
    </w:p>
    <w:p w:rsidR="000922BD" w:rsidRPr="00DF5130" w:rsidRDefault="003A05D5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Сравним стоимость отопления здания объемом 18 -20 тысяч кубических метров при отоплении газом, электричеством и дизельным топливом</w:t>
      </w:r>
      <w:r w:rsidR="001049E8" w:rsidRPr="00DF5130">
        <w:rPr>
          <w:noProof/>
          <w:color w:val="000000"/>
          <w:sz w:val="28"/>
          <w:szCs w:val="28"/>
        </w:rPr>
        <w:t xml:space="preserve"> на примере Новосибирска</w:t>
      </w:r>
      <w:r w:rsidRPr="00DF5130">
        <w:rPr>
          <w:noProof/>
          <w:color w:val="000000"/>
          <w:sz w:val="28"/>
          <w:szCs w:val="28"/>
        </w:rPr>
        <w:t xml:space="preserve">. </w:t>
      </w:r>
      <w:r w:rsidR="000922BD" w:rsidRPr="00DF5130">
        <w:rPr>
          <w:noProof/>
          <w:color w:val="000000"/>
          <w:sz w:val="28"/>
          <w:szCs w:val="28"/>
        </w:rPr>
        <w:t>Стоимость энергоносителей приведена в Таблице 1</w:t>
      </w:r>
      <w:r w:rsidR="00A92ABF" w:rsidRPr="00DF5130">
        <w:rPr>
          <w:noProof/>
          <w:color w:val="000000"/>
          <w:sz w:val="28"/>
          <w:szCs w:val="28"/>
        </w:rPr>
        <w:t>.</w:t>
      </w:r>
      <w:r w:rsidR="000922BD" w:rsidRPr="00DF5130">
        <w:rPr>
          <w:noProof/>
          <w:color w:val="000000"/>
          <w:sz w:val="28"/>
          <w:szCs w:val="28"/>
        </w:rPr>
        <w:t xml:space="preserve"> </w:t>
      </w:r>
      <w:r w:rsidR="00A92ABF" w:rsidRPr="00DF5130">
        <w:rPr>
          <w:b/>
          <w:bCs/>
          <w:noProof/>
          <w:color w:val="000000"/>
          <w:sz w:val="28"/>
          <w:szCs w:val="28"/>
        </w:rPr>
        <w:t xml:space="preserve">(цены на 1 января 2008 г., </w:t>
      </w:r>
      <w:r w:rsidR="000922BD" w:rsidRPr="00D67C6F">
        <w:rPr>
          <w:b/>
          <w:bCs/>
          <w:noProof/>
          <w:color w:val="000000"/>
          <w:sz w:val="28"/>
          <w:szCs w:val="28"/>
        </w:rPr>
        <w:t>http://www.ooofarta.ru/</w:t>
      </w:r>
      <w:r w:rsidR="000922BD" w:rsidRPr="00DF5130">
        <w:rPr>
          <w:b/>
          <w:bCs/>
          <w:noProof/>
          <w:color w:val="000000"/>
          <w:sz w:val="28"/>
          <w:szCs w:val="28"/>
        </w:rPr>
        <w:t>).</w:t>
      </w:r>
    </w:p>
    <w:p w:rsidR="000922BD" w:rsidRPr="00DF5130" w:rsidRDefault="00DF5130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br w:type="page"/>
      </w:r>
      <w:r w:rsidR="000922BD" w:rsidRPr="00DF5130">
        <w:rPr>
          <w:b/>
          <w:bCs/>
          <w:noProof/>
          <w:color w:val="000000"/>
          <w:sz w:val="28"/>
          <w:szCs w:val="28"/>
        </w:rPr>
        <w:t>Таблица 1.</w:t>
      </w:r>
    </w:p>
    <w:p w:rsidR="001240F9" w:rsidRPr="00DF5130" w:rsidRDefault="00DD6E84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93.5pt">
            <v:imagedata r:id="rId7" o:title=""/>
          </v:shape>
        </w:pict>
      </w:r>
    </w:p>
    <w:p w:rsidR="00DF5130" w:rsidRPr="00DF5130" w:rsidRDefault="00DF513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07A7" w:rsidRPr="00DF5130" w:rsidRDefault="00C207A7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Дизельная модульная котельная мощностью 500 кВт, «Пятисотка», с котлом REX-50, горелка Ecoflam, производства ООО «ПромКотел», отапливаемая площадь около 6000 м</w:t>
      </w:r>
      <w:r w:rsidRPr="00DF5130">
        <w:rPr>
          <w:b/>
          <w:bCs/>
          <w:noProof/>
          <w:color w:val="000000"/>
          <w:sz w:val="28"/>
          <w:szCs w:val="28"/>
          <w:vertAlign w:val="superscript"/>
        </w:rPr>
        <w:t>2</w:t>
      </w:r>
      <w:r w:rsidRPr="00DF5130">
        <w:rPr>
          <w:noProof/>
          <w:color w:val="000000"/>
          <w:sz w:val="28"/>
          <w:szCs w:val="28"/>
        </w:rPr>
        <w:t xml:space="preserve">. Потребляемая мощность 5 кВт. Расход топлива в среднем: 50 кг/час. Для отопления помещения объемом 6 000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Pr="00DF5130">
        <w:rPr>
          <w:noProof/>
          <w:color w:val="000000"/>
          <w:sz w:val="28"/>
          <w:szCs w:val="28"/>
        </w:rPr>
        <w:t xml:space="preserve"> 3 = 18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000 м</w:t>
      </w:r>
      <w:r w:rsidRPr="00DF5130">
        <w:rPr>
          <w:b/>
          <w:bCs/>
          <w:noProof/>
          <w:color w:val="000000"/>
          <w:sz w:val="28"/>
          <w:szCs w:val="28"/>
          <w:vertAlign w:val="superscript"/>
        </w:rPr>
        <w:t>3</w:t>
      </w:r>
      <w:r w:rsidRPr="00DF5130">
        <w:rPr>
          <w:noProof/>
          <w:color w:val="000000"/>
          <w:sz w:val="28"/>
          <w:szCs w:val="28"/>
        </w:rPr>
        <w:t xml:space="preserve"> котельная будет расходовать в месяц 50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* </w:t>
      </w:r>
      <w:r w:rsidRPr="00DF5130">
        <w:rPr>
          <w:noProof/>
          <w:color w:val="000000"/>
          <w:sz w:val="28"/>
          <w:szCs w:val="28"/>
        </w:rPr>
        <w:t xml:space="preserve">24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Pr="00DF5130">
        <w:rPr>
          <w:noProof/>
          <w:color w:val="000000"/>
          <w:sz w:val="28"/>
          <w:szCs w:val="28"/>
        </w:rPr>
        <w:t xml:space="preserve"> 30 = 36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000 кг. дизельного топлива и 5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* </w:t>
      </w:r>
      <w:r w:rsidRPr="00DF5130">
        <w:rPr>
          <w:noProof/>
          <w:color w:val="000000"/>
          <w:sz w:val="28"/>
          <w:szCs w:val="28"/>
        </w:rPr>
        <w:t xml:space="preserve">24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Pr="00DF5130">
        <w:rPr>
          <w:noProof/>
          <w:color w:val="000000"/>
          <w:sz w:val="28"/>
          <w:szCs w:val="28"/>
        </w:rPr>
        <w:t xml:space="preserve"> 30 = 3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600 кВт электроэнергии.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При ценах из таблицы 1 стоимость отопления в месяц будет составлять: 36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000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* </w:t>
      </w:r>
      <w:r w:rsidRPr="00DF5130">
        <w:rPr>
          <w:noProof/>
          <w:color w:val="000000"/>
          <w:sz w:val="28"/>
          <w:szCs w:val="28"/>
        </w:rPr>
        <w:t>24,40 + 3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600</w:t>
      </w:r>
      <w:r w:rsidRPr="00DF5130">
        <w:rPr>
          <w:b/>
          <w:bCs/>
          <w:noProof/>
          <w:color w:val="000000"/>
          <w:sz w:val="28"/>
          <w:szCs w:val="28"/>
        </w:rPr>
        <w:t xml:space="preserve">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="00DF5130"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 </w:t>
      </w:r>
      <w:r w:rsidRPr="00DF5130">
        <w:rPr>
          <w:noProof/>
          <w:color w:val="000000"/>
          <w:sz w:val="28"/>
          <w:szCs w:val="28"/>
        </w:rPr>
        <w:t>2,14 = 886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104 руб.</w:t>
      </w:r>
    </w:p>
    <w:p w:rsidR="000922BD" w:rsidRPr="00DF5130" w:rsidRDefault="000922BD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rStyle w:val="a4"/>
          <w:b w:val="0"/>
          <w:bCs w:val="0"/>
          <w:noProof/>
          <w:color w:val="000000"/>
          <w:sz w:val="28"/>
          <w:szCs w:val="28"/>
        </w:rPr>
        <w:t xml:space="preserve">Транспортабельная блочно модульная котельная ТМБК-07 ТУ 4938-001-09211804-2007 тепловой мощностью 700 кВт, производства </w:t>
      </w:r>
      <w:r w:rsidRPr="00DF5130">
        <w:rPr>
          <w:noProof/>
          <w:color w:val="000000"/>
          <w:sz w:val="28"/>
          <w:szCs w:val="28"/>
        </w:rPr>
        <w:t>ОАО "ЭНЕРГОСТРОЙ",</w:t>
      </w:r>
      <w:r w:rsidRPr="00DF5130">
        <w:rPr>
          <w:rStyle w:val="a4"/>
          <w:b w:val="0"/>
          <w:bCs w:val="0"/>
          <w:noProof/>
          <w:color w:val="000000"/>
          <w:sz w:val="28"/>
          <w:szCs w:val="28"/>
        </w:rPr>
        <w:t xml:space="preserve"> предназначена для отопления объектов объемом 21</w:t>
      </w:r>
      <w:r w:rsidR="00DF5130" w:rsidRPr="00DF5130">
        <w:rPr>
          <w:rStyle w:val="a4"/>
          <w:b w:val="0"/>
          <w:bCs w:val="0"/>
          <w:noProof/>
          <w:color w:val="000000"/>
          <w:sz w:val="28"/>
          <w:szCs w:val="28"/>
        </w:rPr>
        <w:t xml:space="preserve"> </w:t>
      </w:r>
      <w:r w:rsidRPr="00DF5130">
        <w:rPr>
          <w:rStyle w:val="a4"/>
          <w:b w:val="0"/>
          <w:bCs w:val="0"/>
          <w:noProof/>
          <w:color w:val="000000"/>
          <w:sz w:val="28"/>
          <w:szCs w:val="28"/>
        </w:rPr>
        <w:t>000 куб. м. Максимальный расход топлива 77 м</w:t>
      </w:r>
      <w:r w:rsidRPr="00DF5130">
        <w:rPr>
          <w:rStyle w:val="a4"/>
          <w:noProof/>
          <w:color w:val="000000"/>
          <w:sz w:val="28"/>
          <w:szCs w:val="28"/>
          <w:vertAlign w:val="superscript"/>
        </w:rPr>
        <w:t>3</w:t>
      </w:r>
      <w:r w:rsidRPr="00DF5130">
        <w:rPr>
          <w:rStyle w:val="a4"/>
          <w:b w:val="0"/>
          <w:bCs w:val="0"/>
          <w:noProof/>
          <w:color w:val="000000"/>
          <w:sz w:val="28"/>
          <w:szCs w:val="28"/>
        </w:rPr>
        <w:t>/час. Затраты только на оплату сетевого газа</w:t>
      </w:r>
      <w:r w:rsidR="00DF5130" w:rsidRPr="00DF5130">
        <w:rPr>
          <w:rStyle w:val="a4"/>
          <w:b w:val="0"/>
          <w:bCs w:val="0"/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в месяц будут составлять: 77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="00DF5130"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24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Pr="00DF5130">
        <w:rPr>
          <w:noProof/>
          <w:color w:val="000000"/>
          <w:sz w:val="28"/>
          <w:szCs w:val="28"/>
        </w:rPr>
        <w:t xml:space="preserve"> 30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="00DF5130" w:rsidRPr="00DF5130">
        <w:rPr>
          <w:b/>
          <w:bCs/>
          <w:noProof/>
          <w:color w:val="000000"/>
          <w:sz w:val="28"/>
          <w:szCs w:val="28"/>
          <w:vertAlign w:val="subscript"/>
        </w:rPr>
        <w:t xml:space="preserve"> </w:t>
      </w:r>
      <w:r w:rsidRPr="00DF5130">
        <w:rPr>
          <w:noProof/>
          <w:color w:val="000000"/>
          <w:sz w:val="28"/>
          <w:szCs w:val="28"/>
        </w:rPr>
        <w:t>2,5 = 138 600 руб.</w:t>
      </w:r>
    </w:p>
    <w:p w:rsidR="000922BD" w:rsidRPr="00DF5130" w:rsidRDefault="000922BD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При применении тепловых гидродинамических насосов ТС1-075 на отопление близкого по объему здания Филиала «Пластимекс М» г. Рошаль Московской области затрачивал</w:t>
      </w:r>
      <w:r w:rsidR="00901E0C" w:rsidRPr="00DF5130">
        <w:rPr>
          <w:noProof/>
          <w:color w:val="000000"/>
          <w:sz w:val="28"/>
          <w:szCs w:val="28"/>
        </w:rPr>
        <w:t>ось</w:t>
      </w:r>
      <w:r w:rsidRPr="00DF5130">
        <w:rPr>
          <w:noProof/>
          <w:color w:val="000000"/>
          <w:sz w:val="28"/>
          <w:szCs w:val="28"/>
        </w:rPr>
        <w:t>: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45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455 </w:t>
      </w:r>
      <w:r w:rsidRPr="00DF5130">
        <w:rPr>
          <w:b/>
          <w:bCs/>
          <w:noProof/>
          <w:color w:val="000000"/>
          <w:sz w:val="28"/>
          <w:szCs w:val="28"/>
          <w:vertAlign w:val="subscript"/>
        </w:rPr>
        <w:t>*</w:t>
      </w:r>
      <w:r w:rsidRPr="00DF5130">
        <w:rPr>
          <w:noProof/>
          <w:color w:val="000000"/>
          <w:sz w:val="28"/>
          <w:szCs w:val="28"/>
        </w:rPr>
        <w:t xml:space="preserve"> 2,14 = 97 273,7 руб.</w:t>
      </w:r>
    </w:p>
    <w:p w:rsidR="000922BD" w:rsidRPr="00DF5130" w:rsidRDefault="000A4805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Фактические данные по расходу электроэнергии на отопление тепловыми гидродинамическими насосами типа «ТС1» приведены в таблице 2 </w:t>
      </w:r>
      <w:r w:rsidRPr="00DF5130">
        <w:rPr>
          <w:b/>
          <w:bCs/>
          <w:noProof/>
          <w:color w:val="000000"/>
          <w:sz w:val="28"/>
          <w:szCs w:val="28"/>
        </w:rPr>
        <w:t>(http://www.ecoteplo.ru)</w:t>
      </w:r>
    </w:p>
    <w:p w:rsidR="008C171E" w:rsidRPr="00DF5130" w:rsidRDefault="00DF5130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br w:type="page"/>
      </w:r>
      <w:r w:rsidR="000A4805" w:rsidRPr="00DF5130">
        <w:rPr>
          <w:b/>
          <w:bCs/>
          <w:noProof/>
          <w:color w:val="000000"/>
          <w:sz w:val="28"/>
          <w:szCs w:val="28"/>
        </w:rPr>
        <w:t>Таблица 2.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515"/>
        <w:gridCol w:w="1505"/>
        <w:gridCol w:w="1287"/>
        <w:gridCol w:w="1183"/>
        <w:gridCol w:w="931"/>
        <w:gridCol w:w="776"/>
        <w:gridCol w:w="1287"/>
        <w:gridCol w:w="980"/>
      </w:tblGrid>
      <w:tr w:rsidR="00DF5130" w:rsidRPr="00C05D96" w:rsidTr="00C05D96">
        <w:trPr>
          <w:trHeight w:val="3452"/>
        </w:trPr>
        <w:tc>
          <w:tcPr>
            <w:tcW w:w="800" w:type="pct"/>
            <w:shd w:val="clear" w:color="000000" w:fill="auto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95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Строительный материал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680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Объем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Помещений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Куб. м.</w:t>
            </w:r>
          </w:p>
        </w:tc>
        <w:tc>
          <w:tcPr>
            <w:tcW w:w="625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492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Средняя температура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Град.</w:t>
            </w:r>
          </w:p>
        </w:tc>
        <w:tc>
          <w:tcPr>
            <w:tcW w:w="410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Затраты электроэнергии за месяц, кВт/час</w:t>
            </w:r>
          </w:p>
        </w:tc>
        <w:tc>
          <w:tcPr>
            <w:tcW w:w="680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Потребляемая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электрическая</w:t>
            </w:r>
            <w:r w:rsidR="00DF5130" w:rsidRPr="00C05D9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05D96">
              <w:rPr>
                <w:noProof/>
                <w:color w:val="000000"/>
                <w:sz w:val="20"/>
                <w:szCs w:val="20"/>
              </w:rPr>
              <w:t>мощность в час,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518" w:type="pct"/>
            <w:shd w:val="clear" w:color="000000" w:fill="auto"/>
            <w:textDirection w:val="btLr"/>
            <w:vAlign w:val="center"/>
          </w:tcPr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Объем, обогреваемый</w:t>
            </w:r>
          </w:p>
          <w:p w:rsidR="008C171E" w:rsidRPr="00C05D96" w:rsidRDefault="008C171E" w:rsidP="00C05D96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 кВт,куб.м</w:t>
            </w:r>
          </w:p>
        </w:tc>
      </w:tr>
      <w:tr w:rsidR="00DF5130" w:rsidRPr="00C05D96" w:rsidTr="00C05D96"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Филиал ООО «Пластимекс М»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20 433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45 455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323,66</w:t>
            </w:r>
          </w:p>
        </w:tc>
      </w:tr>
      <w:tr w:rsidR="00DF5130" w:rsidRPr="00C05D96" w:rsidTr="00C05D96"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ООО «Рубеж»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сендвич-панели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 xml:space="preserve"> 792,00</w:t>
            </w:r>
          </w:p>
        </w:tc>
      </w:tr>
      <w:tr w:rsidR="00DF5130" w:rsidRPr="00C05D96" w:rsidTr="00C05D96">
        <w:trPr>
          <w:trHeight w:val="289"/>
        </w:trPr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ООО «Туба»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сендвич-панели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54 000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353,33</w:t>
            </w:r>
          </w:p>
        </w:tc>
      </w:tr>
      <w:tr w:rsidR="00DF5130" w:rsidRPr="00C05D96" w:rsidTr="00C05D96">
        <w:tc>
          <w:tcPr>
            <w:tcW w:w="800" w:type="pct"/>
            <w:vMerge w:val="restar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ООО «Апекс Терминал»</w:t>
            </w:r>
          </w:p>
        </w:tc>
        <w:tc>
          <w:tcPr>
            <w:tcW w:w="795" w:type="pct"/>
            <w:vMerge w:val="restar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сендвич-панели «Вентал»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3 850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22-24</w:t>
            </w:r>
          </w:p>
        </w:tc>
        <w:tc>
          <w:tcPr>
            <w:tcW w:w="410" w:type="pct"/>
            <w:vMerge w:val="restar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40 318</w:t>
            </w:r>
          </w:p>
        </w:tc>
        <w:tc>
          <w:tcPr>
            <w:tcW w:w="680" w:type="pct"/>
            <w:vMerge w:val="restar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518" w:type="pct"/>
            <w:vMerge w:val="restar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569,78</w:t>
            </w:r>
          </w:p>
        </w:tc>
      </w:tr>
      <w:tr w:rsidR="00DF5130" w:rsidRPr="00C05D96" w:rsidTr="00C05D96">
        <w:tc>
          <w:tcPr>
            <w:tcW w:w="800" w:type="pct"/>
            <w:vMerge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 xml:space="preserve">склад 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410" w:type="pct"/>
            <w:vMerge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F5130" w:rsidRPr="00C05D96" w:rsidTr="00C05D96"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ЗАО «Сплайн-Центр»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офис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336,00</w:t>
            </w:r>
          </w:p>
        </w:tc>
      </w:tr>
      <w:tr w:rsidR="00DF5130" w:rsidRPr="00C05D96" w:rsidTr="00C05D96"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ПБОЮЛ Замотаева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металлический ангар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ремонтный цех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8 171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391,56</w:t>
            </w:r>
          </w:p>
        </w:tc>
      </w:tr>
      <w:tr w:rsidR="00DF5130" w:rsidRPr="00C05D96" w:rsidTr="00C05D96">
        <w:tc>
          <w:tcPr>
            <w:tcW w:w="80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ООО «Стеклоцентр» (г. Калининград)</w:t>
            </w:r>
          </w:p>
        </w:tc>
        <w:tc>
          <w:tcPr>
            <w:tcW w:w="79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625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492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41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3 556</w:t>
            </w:r>
          </w:p>
        </w:tc>
        <w:tc>
          <w:tcPr>
            <w:tcW w:w="680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518" w:type="pct"/>
            <w:shd w:val="clear" w:color="000000" w:fill="auto"/>
          </w:tcPr>
          <w:p w:rsidR="008C171E" w:rsidRPr="00C05D96" w:rsidRDefault="008C171E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1214,80</w:t>
            </w:r>
          </w:p>
        </w:tc>
      </w:tr>
    </w:tbl>
    <w:p w:rsidR="00DF5130" w:rsidRPr="00DF5130" w:rsidRDefault="00DF513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7F16" w:rsidRPr="00DF5130" w:rsidRDefault="00744244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Из таблицы видно, что даже затраты на энергоноситель у тепловых </w:t>
      </w:r>
      <w:r w:rsidR="00787F16" w:rsidRPr="00DF5130">
        <w:rPr>
          <w:noProof/>
          <w:color w:val="000000"/>
          <w:sz w:val="28"/>
          <w:szCs w:val="28"/>
        </w:rPr>
        <w:t>гидродинамических насосов типа «ТС1» ниже, чем у газовых котлов.</w:t>
      </w:r>
    </w:p>
    <w:p w:rsidR="00787F16" w:rsidRPr="00DF5130" w:rsidRDefault="00F81EAD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Что же из себя представляют тепловые гидродинамические насосы? Тепловые гидродинамические насосы это – наиболее перспективный тип «кавитационных» («вихревых») теплогенераторов, устройств для получения тепла, образующегося иначе, чем в результате сгорания топлива.</w:t>
      </w:r>
      <w:r w:rsidR="00A86740" w:rsidRPr="00DF5130">
        <w:rPr>
          <w:noProof/>
          <w:color w:val="000000"/>
          <w:sz w:val="28"/>
          <w:szCs w:val="28"/>
        </w:rPr>
        <w:t xml:space="preserve"> </w:t>
      </w:r>
      <w:r w:rsidR="00787F16" w:rsidRPr="00DF5130">
        <w:rPr>
          <w:noProof/>
          <w:color w:val="000000"/>
          <w:sz w:val="28"/>
          <w:szCs w:val="28"/>
        </w:rPr>
        <w:t>Серийно выпускаемые (ТУ 3631-001-78515751-2007, Сертификат соответствия № РОСС RU.АЯ46.</w:t>
      </w:r>
      <w:r w:rsidR="00176689" w:rsidRPr="00DF5130">
        <w:rPr>
          <w:noProof/>
          <w:color w:val="000000"/>
          <w:sz w:val="28"/>
          <w:szCs w:val="28"/>
        </w:rPr>
        <w:t>В12043</w:t>
      </w:r>
      <w:r w:rsidR="00787F16" w:rsidRPr="00DF5130">
        <w:rPr>
          <w:noProof/>
          <w:color w:val="000000"/>
          <w:sz w:val="28"/>
          <w:szCs w:val="28"/>
        </w:rPr>
        <w:t>) тепловые гидродинамические насосы типа «ТС1» представляют собой стандартный асинхронный электродвигатель 3000 об/мин, напряжением питания 380 В., смонтированный на одной раме с активатором, преобразующим механическую энергию в тепловую. Они полностью подготовлены для подключения к новой или существующей системе отопления, а конструкция и габариты тепловой установки упрощают ее размещение и монтаж в тепловом узле. Общий вид стационарного теплового пункта показан на фото 1, блочно-модульного – на фото 2.</w:t>
      </w:r>
    </w:p>
    <w:p w:rsidR="00F5231A" w:rsidRPr="00DF5130" w:rsidRDefault="00F5231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Принцип работы теплового гидродинамического насоса основан на физическом законе превращения кинетической энергии воды в тепловую. Вода, или другой жидкий теплоноситель, под давлением подается в теплогенератор. При встрече с быстро вращающимся диском теплогенератора частицы воды, прилегающие к диску, под действием центробежной силы стремятся к периферии корпуса теплогенератора, а частицы, прилегающие к ее стенкам, движутся от периферии к центру. При встрече частиц наступает разрыв сплошности среды, что ведет к образованию кавитационных пузырьков. Такой вид кавитации называется гидродинамическим. Под действием сил гравитации и межмолекулярных связей молекул воды кавитационные пузырьки взрывообразно «схлопываются» с выделением тепла. Так как кавитационные процессы происходят на расстоянии от поверхности вала и корпуса, конструктивные элементы теплогенератора не подвергаются разрушению. </w:t>
      </w:r>
    </w:p>
    <w:p w:rsidR="00F5231A" w:rsidRPr="00DF5130" w:rsidRDefault="00F5231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Существуют и другие теории, объясняющие процессы выделения тепла в «вихревых теплогенераторах». Однако ни одна из теорий не может полностью описать эти процессы, дать методы расчета и оптимизации конструкции тепловых установок. В настоящее время научные исследования сводятся лишь к фиксации результатов работы созданных тепловых установок. </w:t>
      </w:r>
    </w:p>
    <w:p w:rsidR="00F5231A" w:rsidRPr="00DF5130" w:rsidRDefault="00F5231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В теплогенераторе типа «ТС1» процесс нагрева происходит при оборотах вала 2960 </w:t>
      </w:r>
      <w:r w:rsidRPr="00DF5130">
        <w:rPr>
          <w:noProof/>
          <w:color w:val="000000"/>
          <w:sz w:val="28"/>
          <w:szCs w:val="28"/>
          <w:u w:val="single"/>
        </w:rPr>
        <w:t>+</w:t>
      </w:r>
      <w:r w:rsidRPr="00DF5130">
        <w:rPr>
          <w:noProof/>
          <w:color w:val="000000"/>
          <w:sz w:val="28"/>
          <w:szCs w:val="28"/>
        </w:rPr>
        <w:t xml:space="preserve"> 1,5%. На других оборотах эффективность снижается. Регулирование температурного режима осуществляется включением-выключением электродвигателя по сигналам с датчика температур. При достижении теплоносителем максимальной температуры задаваемой потребителем, электродвигатель выключается, при охлаждении теплоносителя до минимальной заданной температуры – включается. Диапазон задаваемых температур должен быть не менее 20</w:t>
      </w:r>
      <w:r w:rsidRPr="00DF5130">
        <w:rPr>
          <w:noProof/>
          <w:color w:val="000000"/>
          <w:sz w:val="28"/>
          <w:szCs w:val="28"/>
          <w:vertAlign w:val="superscript"/>
        </w:rPr>
        <w:t>о</w:t>
      </w:r>
      <w:r w:rsidRPr="00DF5130">
        <w:rPr>
          <w:noProof/>
          <w:color w:val="000000"/>
          <w:sz w:val="28"/>
          <w:szCs w:val="28"/>
        </w:rPr>
        <w:t>С. При правильном подборе мощности, в среднем за отопительный сезон, изделие работает 25-30% времени.</w:t>
      </w:r>
    </w:p>
    <w:p w:rsidR="00F5231A" w:rsidRPr="00DF5130" w:rsidRDefault="00F5231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В зависимости от температуры теплоносителя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на входном патрубке и объема прокачки, за один проход через теплогенератор, теплоноситель нагревается на 14 - 20</w:t>
      </w:r>
      <w:r w:rsidRPr="00DF5130">
        <w:rPr>
          <w:noProof/>
          <w:color w:val="000000"/>
          <w:sz w:val="28"/>
          <w:szCs w:val="28"/>
          <w:vertAlign w:val="superscript"/>
        </w:rPr>
        <w:t>о</w:t>
      </w:r>
      <w:r w:rsidRPr="00DF5130">
        <w:rPr>
          <w:noProof/>
          <w:color w:val="000000"/>
          <w:sz w:val="28"/>
          <w:szCs w:val="28"/>
        </w:rPr>
        <w:t>С. Рекомендуемый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>объем прокачки для тепловых установок приведен в таблице 3.</w:t>
      </w:r>
    </w:p>
    <w:p w:rsidR="00DF5130" w:rsidRPr="00DF5130" w:rsidRDefault="00DF5130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5231A" w:rsidRPr="00DF5130" w:rsidRDefault="00F5231A" w:rsidP="00DF513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F5130">
        <w:rPr>
          <w:b/>
          <w:bCs/>
          <w:noProof/>
          <w:color w:val="000000"/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97"/>
        <w:gridCol w:w="1319"/>
        <w:gridCol w:w="1319"/>
        <w:gridCol w:w="1319"/>
        <w:gridCol w:w="1317"/>
      </w:tblGrid>
      <w:tr w:rsidR="00F5231A" w:rsidRPr="00C05D96" w:rsidTr="00C05D96">
        <w:tc>
          <w:tcPr>
            <w:tcW w:w="2245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Мощность установки, кВт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110</w:t>
            </w:r>
          </w:p>
        </w:tc>
      </w:tr>
      <w:tr w:rsidR="00F5231A" w:rsidRPr="00C05D96" w:rsidTr="00C05D96">
        <w:tc>
          <w:tcPr>
            <w:tcW w:w="2245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Рекомендованный средний объем прокачки, м</w:t>
            </w:r>
            <w:r w:rsidRPr="00C05D96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  <w:r w:rsidRPr="00C05D96">
              <w:rPr>
                <w:noProof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89" w:type="pct"/>
            <w:shd w:val="clear" w:color="auto" w:fill="auto"/>
          </w:tcPr>
          <w:p w:rsidR="00F5231A" w:rsidRPr="00C05D96" w:rsidRDefault="00F5231A" w:rsidP="00C05D96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05D96">
              <w:rPr>
                <w:noProof/>
                <w:color w:val="000000"/>
                <w:sz w:val="20"/>
                <w:szCs w:val="20"/>
              </w:rPr>
              <w:t>6,0</w:t>
            </w:r>
          </w:p>
        </w:tc>
      </w:tr>
    </w:tbl>
    <w:p w:rsidR="00DF5130" w:rsidRPr="00DF5130" w:rsidRDefault="00DF513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231A" w:rsidRPr="00DF5130" w:rsidRDefault="00F5231A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Максимальная температура нагрева теплоносителя 95</w:t>
      </w:r>
      <w:r w:rsidRPr="00DF5130">
        <w:rPr>
          <w:noProof/>
          <w:color w:val="000000"/>
          <w:sz w:val="28"/>
          <w:szCs w:val="28"/>
          <w:vertAlign w:val="superscript"/>
        </w:rPr>
        <w:t>о</w:t>
      </w:r>
      <w:r w:rsidRPr="00DF5130">
        <w:rPr>
          <w:noProof/>
          <w:color w:val="000000"/>
          <w:sz w:val="28"/>
          <w:szCs w:val="28"/>
        </w:rPr>
        <w:t>С. Эта температура задается требованиями СНиП 2.04.05-91</w:t>
      </w:r>
      <w:r w:rsidRPr="00DF5130">
        <w:rPr>
          <w:b/>
          <w:bCs/>
          <w:noProof/>
          <w:color w:val="000000"/>
          <w:sz w:val="28"/>
          <w:szCs w:val="28"/>
        </w:rPr>
        <w:t xml:space="preserve"> </w:t>
      </w:r>
      <w:r w:rsidRPr="00DF5130">
        <w:rPr>
          <w:noProof/>
          <w:color w:val="000000"/>
          <w:sz w:val="28"/>
          <w:szCs w:val="28"/>
        </w:rPr>
        <w:t xml:space="preserve">«Отопление, вентиляция и кондиционирование». Под эти требования подобрана марка торцевых уплотнений. </w:t>
      </w:r>
    </w:p>
    <w:p w:rsidR="00FD4C94" w:rsidRPr="00DF5130" w:rsidRDefault="000C1E00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>Начиная с отопительного сезона 2003/2004 г.г. б</w:t>
      </w:r>
      <w:r w:rsidR="00FD4C94" w:rsidRPr="00DF5130">
        <w:rPr>
          <w:noProof/>
          <w:color w:val="000000"/>
          <w:sz w:val="28"/>
          <w:szCs w:val="28"/>
        </w:rPr>
        <w:t xml:space="preserve">олее четырехсот установок «ТС1» эксплуатируются в регионах РФ, ближнем и дальнем зарубежье: в Москве и Московской области, в Архангельске, </w:t>
      </w:r>
      <w:r w:rsidR="001B321C" w:rsidRPr="00DF5130">
        <w:rPr>
          <w:noProof/>
          <w:color w:val="000000"/>
          <w:sz w:val="28"/>
          <w:szCs w:val="28"/>
        </w:rPr>
        <w:t xml:space="preserve">Вологде, </w:t>
      </w:r>
      <w:r w:rsidR="00FD4C94" w:rsidRPr="00DF5130">
        <w:rPr>
          <w:noProof/>
          <w:color w:val="000000"/>
          <w:sz w:val="28"/>
          <w:szCs w:val="28"/>
        </w:rPr>
        <w:t xml:space="preserve">Выборге, </w:t>
      </w:r>
      <w:r w:rsidR="001B321C" w:rsidRPr="00DF5130">
        <w:rPr>
          <w:noProof/>
          <w:color w:val="000000"/>
          <w:sz w:val="28"/>
          <w:szCs w:val="28"/>
        </w:rPr>
        <w:t xml:space="preserve">Ейске, </w:t>
      </w:r>
      <w:r w:rsidR="00FD4C94" w:rsidRPr="00DF5130">
        <w:rPr>
          <w:noProof/>
          <w:color w:val="000000"/>
          <w:sz w:val="28"/>
          <w:szCs w:val="28"/>
        </w:rPr>
        <w:t xml:space="preserve">Екатеринбурге, Калининграде, </w:t>
      </w:r>
      <w:r w:rsidR="001B321C" w:rsidRPr="00DF5130">
        <w:rPr>
          <w:noProof/>
          <w:color w:val="000000"/>
          <w:sz w:val="28"/>
          <w:szCs w:val="28"/>
        </w:rPr>
        <w:t xml:space="preserve">Кемерово, </w:t>
      </w:r>
      <w:r w:rsidR="00FD4C94" w:rsidRPr="00DF5130">
        <w:rPr>
          <w:noProof/>
          <w:color w:val="000000"/>
          <w:sz w:val="28"/>
          <w:szCs w:val="28"/>
        </w:rPr>
        <w:t xml:space="preserve">Липецке, Магнитогорске, Нижнем Новгороде, Оренбурге, Орле, Орске, </w:t>
      </w:r>
      <w:r w:rsidR="001B321C" w:rsidRPr="00DF5130">
        <w:rPr>
          <w:noProof/>
          <w:color w:val="000000"/>
          <w:sz w:val="28"/>
          <w:szCs w:val="28"/>
        </w:rPr>
        <w:t xml:space="preserve">Перми, </w:t>
      </w:r>
      <w:r w:rsidR="00FD4C94" w:rsidRPr="00DF5130">
        <w:rPr>
          <w:noProof/>
          <w:color w:val="000000"/>
          <w:sz w:val="28"/>
          <w:szCs w:val="28"/>
        </w:rPr>
        <w:t xml:space="preserve">Самаре, Санкт-Петербурге, Тольятти, Туле, </w:t>
      </w:r>
      <w:r w:rsidR="001B321C" w:rsidRPr="00DF5130">
        <w:rPr>
          <w:noProof/>
          <w:color w:val="000000"/>
          <w:sz w:val="28"/>
          <w:szCs w:val="28"/>
        </w:rPr>
        <w:t xml:space="preserve">Ульяновске, </w:t>
      </w:r>
      <w:r w:rsidR="00FD4C94" w:rsidRPr="00DF5130">
        <w:rPr>
          <w:noProof/>
          <w:color w:val="000000"/>
          <w:sz w:val="28"/>
          <w:szCs w:val="28"/>
        </w:rPr>
        <w:t>Чебоксарах, Череповце и др. городах, в Башкирии и Якутии,</w:t>
      </w:r>
      <w:r w:rsidR="00DF5130" w:rsidRPr="00DF5130">
        <w:rPr>
          <w:noProof/>
          <w:color w:val="000000"/>
          <w:sz w:val="28"/>
          <w:szCs w:val="28"/>
        </w:rPr>
        <w:t xml:space="preserve"> </w:t>
      </w:r>
      <w:r w:rsidR="00FD4C94" w:rsidRPr="00DF5130">
        <w:rPr>
          <w:noProof/>
          <w:color w:val="000000"/>
          <w:sz w:val="28"/>
          <w:szCs w:val="28"/>
        </w:rPr>
        <w:t xml:space="preserve">в Белоруссии, Казахстане, Узбекистане, Украине, АР Крым, </w:t>
      </w:r>
      <w:r w:rsidR="00E10042" w:rsidRPr="00DF5130">
        <w:rPr>
          <w:noProof/>
          <w:color w:val="000000"/>
          <w:sz w:val="28"/>
          <w:szCs w:val="28"/>
        </w:rPr>
        <w:t xml:space="preserve">Монголии, </w:t>
      </w:r>
      <w:r w:rsidR="00FD4C94" w:rsidRPr="00DF5130">
        <w:rPr>
          <w:noProof/>
          <w:color w:val="000000"/>
          <w:sz w:val="28"/>
          <w:szCs w:val="28"/>
        </w:rPr>
        <w:t xml:space="preserve">Южной Корее и Японии. </w:t>
      </w:r>
    </w:p>
    <w:p w:rsidR="00787F16" w:rsidRPr="00DF5130" w:rsidRDefault="00787F16" w:rsidP="00DF513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F5130">
        <w:rPr>
          <w:noProof/>
          <w:color w:val="000000"/>
          <w:sz w:val="28"/>
          <w:szCs w:val="28"/>
        </w:rPr>
        <w:t xml:space="preserve">Более подробная информация о тепловые гидродинамических насосах типа «ТС1», в том числе фотографии некоторых объектов, и тепловых узлов на которых работают установки типа «ТС1», отзывы потребителей, научные публикации и т.д., размещена на сайте </w:t>
      </w:r>
      <w:r w:rsidRPr="00D67C6F">
        <w:rPr>
          <w:noProof/>
          <w:color w:val="000000"/>
          <w:sz w:val="28"/>
          <w:szCs w:val="28"/>
        </w:rPr>
        <w:t>www.ecoteplo.ru</w:t>
      </w:r>
      <w:r w:rsidRPr="00DF5130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787F16" w:rsidRPr="00DF5130" w:rsidSect="00DF513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96" w:rsidRDefault="00C05D96">
      <w:r>
        <w:separator/>
      </w:r>
    </w:p>
  </w:endnote>
  <w:endnote w:type="continuationSeparator" w:id="0">
    <w:p w:rsidR="00C05D96" w:rsidRDefault="00C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93" w:rsidRDefault="00D67C6F" w:rsidP="001049E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E5193" w:rsidRDefault="00DE5193" w:rsidP="001049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96" w:rsidRDefault="00C05D96">
      <w:r>
        <w:separator/>
      </w:r>
    </w:p>
  </w:footnote>
  <w:footnote w:type="continuationSeparator" w:id="0">
    <w:p w:rsidR="00C05D96" w:rsidRDefault="00C0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31D"/>
    <w:multiLevelType w:val="multilevel"/>
    <w:tmpl w:val="9FDE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8D3"/>
    <w:rsid w:val="00030683"/>
    <w:rsid w:val="0005610B"/>
    <w:rsid w:val="000922BD"/>
    <w:rsid w:val="000A4805"/>
    <w:rsid w:val="000C1E00"/>
    <w:rsid w:val="000C370E"/>
    <w:rsid w:val="000C56B8"/>
    <w:rsid w:val="000D10B2"/>
    <w:rsid w:val="000D7879"/>
    <w:rsid w:val="001000C2"/>
    <w:rsid w:val="001049E8"/>
    <w:rsid w:val="001240F9"/>
    <w:rsid w:val="0013732F"/>
    <w:rsid w:val="00176689"/>
    <w:rsid w:val="001B321C"/>
    <w:rsid w:val="001B6747"/>
    <w:rsid w:val="001D2A60"/>
    <w:rsid w:val="002565E5"/>
    <w:rsid w:val="00256DF8"/>
    <w:rsid w:val="002F23C6"/>
    <w:rsid w:val="003665DE"/>
    <w:rsid w:val="003747B7"/>
    <w:rsid w:val="003A05D5"/>
    <w:rsid w:val="003C38ED"/>
    <w:rsid w:val="003D22C6"/>
    <w:rsid w:val="003D68D3"/>
    <w:rsid w:val="003F1A9C"/>
    <w:rsid w:val="00444A53"/>
    <w:rsid w:val="00474DF6"/>
    <w:rsid w:val="004A1E0C"/>
    <w:rsid w:val="004A5C30"/>
    <w:rsid w:val="004E6BFD"/>
    <w:rsid w:val="00501964"/>
    <w:rsid w:val="0051133F"/>
    <w:rsid w:val="00513AD7"/>
    <w:rsid w:val="00586093"/>
    <w:rsid w:val="00593E0E"/>
    <w:rsid w:val="005C32B4"/>
    <w:rsid w:val="005D39BD"/>
    <w:rsid w:val="00610E24"/>
    <w:rsid w:val="00616A5A"/>
    <w:rsid w:val="00617B23"/>
    <w:rsid w:val="00642A20"/>
    <w:rsid w:val="00660FAB"/>
    <w:rsid w:val="00677627"/>
    <w:rsid w:val="006A7078"/>
    <w:rsid w:val="006F19D8"/>
    <w:rsid w:val="00737F4F"/>
    <w:rsid w:val="007422B3"/>
    <w:rsid w:val="00744244"/>
    <w:rsid w:val="007631C4"/>
    <w:rsid w:val="00787F16"/>
    <w:rsid w:val="007A05CF"/>
    <w:rsid w:val="008369D7"/>
    <w:rsid w:val="008636BD"/>
    <w:rsid w:val="008B4A8F"/>
    <w:rsid w:val="008C171E"/>
    <w:rsid w:val="008C5FFC"/>
    <w:rsid w:val="008C7C96"/>
    <w:rsid w:val="008D289E"/>
    <w:rsid w:val="00901E0C"/>
    <w:rsid w:val="00912901"/>
    <w:rsid w:val="0093580E"/>
    <w:rsid w:val="00982FAD"/>
    <w:rsid w:val="00997B51"/>
    <w:rsid w:val="00997B71"/>
    <w:rsid w:val="009A58A2"/>
    <w:rsid w:val="009C5AB7"/>
    <w:rsid w:val="009D4437"/>
    <w:rsid w:val="00A252E5"/>
    <w:rsid w:val="00A51023"/>
    <w:rsid w:val="00A76F89"/>
    <w:rsid w:val="00A86740"/>
    <w:rsid w:val="00A92ABF"/>
    <w:rsid w:val="00AA4396"/>
    <w:rsid w:val="00AB0C4A"/>
    <w:rsid w:val="00AB26EE"/>
    <w:rsid w:val="00AC46F8"/>
    <w:rsid w:val="00AD752E"/>
    <w:rsid w:val="00AE6F94"/>
    <w:rsid w:val="00B37B01"/>
    <w:rsid w:val="00B55610"/>
    <w:rsid w:val="00B81561"/>
    <w:rsid w:val="00B943B0"/>
    <w:rsid w:val="00BA78A1"/>
    <w:rsid w:val="00BF6B3B"/>
    <w:rsid w:val="00C046FF"/>
    <w:rsid w:val="00C05D96"/>
    <w:rsid w:val="00C207A7"/>
    <w:rsid w:val="00C360EA"/>
    <w:rsid w:val="00C943B7"/>
    <w:rsid w:val="00CC3BD5"/>
    <w:rsid w:val="00CD15D4"/>
    <w:rsid w:val="00D55CC7"/>
    <w:rsid w:val="00D6031D"/>
    <w:rsid w:val="00D60F7E"/>
    <w:rsid w:val="00D67C6F"/>
    <w:rsid w:val="00D96CFB"/>
    <w:rsid w:val="00DA0E08"/>
    <w:rsid w:val="00DD6E84"/>
    <w:rsid w:val="00DE5193"/>
    <w:rsid w:val="00DF5130"/>
    <w:rsid w:val="00E10042"/>
    <w:rsid w:val="00E164AF"/>
    <w:rsid w:val="00E64769"/>
    <w:rsid w:val="00EA2317"/>
    <w:rsid w:val="00F5231A"/>
    <w:rsid w:val="00F81EAD"/>
    <w:rsid w:val="00F83F8A"/>
    <w:rsid w:val="00FD4C94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19C7E27-D2F9-45C4-8F20-F4B72B58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title1">
    <w:name w:val="smalltitle1"/>
    <w:uiPriority w:val="99"/>
    <w:rsid w:val="008C7C96"/>
    <w:rPr>
      <w:rFonts w:cs="Times New Roman"/>
      <w:b/>
      <w:bCs/>
      <w:caps/>
      <w:color w:val="000000"/>
      <w:sz w:val="13"/>
      <w:szCs w:val="13"/>
    </w:rPr>
  </w:style>
  <w:style w:type="character" w:styleId="a3">
    <w:name w:val="Hyperlink"/>
    <w:uiPriority w:val="99"/>
    <w:rsid w:val="00616A5A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0922BD"/>
    <w:rPr>
      <w:rFonts w:cs="Times New Roman"/>
      <w:b/>
      <w:bCs/>
    </w:rPr>
  </w:style>
  <w:style w:type="table" w:styleId="a5">
    <w:name w:val="Table Grid"/>
    <w:basedOn w:val="a1"/>
    <w:uiPriority w:val="99"/>
    <w:rsid w:val="008C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04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049E8"/>
    <w:rPr>
      <w:rFonts w:cs="Times New Roman"/>
    </w:rPr>
  </w:style>
  <w:style w:type="paragraph" w:styleId="a9">
    <w:name w:val="header"/>
    <w:basedOn w:val="a"/>
    <w:link w:val="aa"/>
    <w:uiPriority w:val="99"/>
    <w:rsid w:val="00DF51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Professional"/>
    <w:basedOn w:val="a1"/>
    <w:uiPriority w:val="99"/>
    <w:rsid w:val="00DF51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Экономические аспекты применения тепловых гидродинамических насосов</vt:lpstr>
    </vt:vector>
  </TitlesOfParts>
  <Company>-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Экономические аспекты применения тепловых гидродинамических насосов</dc:title>
  <dc:subject/>
  <dc:creator>user</dc:creator>
  <cp:keywords/>
  <dc:description/>
  <cp:lastModifiedBy>admin</cp:lastModifiedBy>
  <cp:revision>2</cp:revision>
  <dcterms:created xsi:type="dcterms:W3CDTF">2014-03-04T19:06:00Z</dcterms:created>
  <dcterms:modified xsi:type="dcterms:W3CDTF">2014-03-04T19:06:00Z</dcterms:modified>
</cp:coreProperties>
</file>