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410D" w:rsidRPr="009F5A17" w:rsidRDefault="00FE410D" w:rsidP="00FE410D">
      <w:pPr>
        <w:spacing w:before="120"/>
        <w:jc w:val="center"/>
        <w:rPr>
          <w:b/>
          <w:sz w:val="32"/>
        </w:rPr>
      </w:pPr>
      <w:r w:rsidRPr="009F5A17">
        <w:rPr>
          <w:b/>
          <w:sz w:val="32"/>
        </w:rPr>
        <w:t>Электромагнитное загрязнение</w:t>
      </w:r>
    </w:p>
    <w:p w:rsidR="00FE410D" w:rsidRPr="009F5A17" w:rsidRDefault="00FE410D" w:rsidP="00FE410D">
      <w:pPr>
        <w:spacing w:before="120"/>
        <w:jc w:val="center"/>
        <w:rPr>
          <w:sz w:val="28"/>
        </w:rPr>
      </w:pPr>
      <w:r w:rsidRPr="009F5A17">
        <w:rPr>
          <w:sz w:val="28"/>
        </w:rPr>
        <w:t>Александр Николаевич Стожаров, зав. кафедрой Белорусского государственного медицинского университета, доктор биологических наук, профессор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Что нас окружает.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Давайте разберемся</w:t>
      </w:r>
      <w:r>
        <w:t xml:space="preserve">, </w:t>
      </w:r>
      <w:r w:rsidRPr="00BE565E">
        <w:t>насколько справедливы и объективны данные о столь мощном действии электросмога. Ниже приведу данные об излучении</w:t>
      </w:r>
      <w:r>
        <w:t xml:space="preserve">, </w:t>
      </w:r>
      <w:r w:rsidRPr="00BE565E">
        <w:t>а вернее о величинах плотности потока (ПП) электромагнитного излучения различных источников. Плотность потока измеряется в единицах мощности (Вт</w:t>
      </w:r>
      <w:r>
        <w:t xml:space="preserve">, </w:t>
      </w:r>
      <w:r w:rsidRPr="00BE565E">
        <w:t>мВт</w:t>
      </w:r>
      <w:r>
        <w:t xml:space="preserve">, </w:t>
      </w:r>
      <w:r w:rsidRPr="00BE565E">
        <w:t>мкВт)</w:t>
      </w:r>
      <w:r>
        <w:t xml:space="preserve">, </w:t>
      </w:r>
      <w:r w:rsidRPr="00BE565E">
        <w:t>приходящейся на единицу площади (м2</w:t>
      </w:r>
      <w:r>
        <w:t xml:space="preserve">, </w:t>
      </w:r>
      <w:r w:rsidRPr="00BE565E">
        <w:t>см2).</w:t>
      </w:r>
    </w:p>
    <w:tbl>
      <w:tblPr>
        <w:tblW w:w="5000" w:type="pct"/>
        <w:jc w:val="center"/>
        <w:tblCellSpacing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58"/>
        <w:gridCol w:w="1009"/>
        <w:gridCol w:w="2639"/>
        <w:gridCol w:w="1459"/>
        <w:gridCol w:w="899"/>
        <w:gridCol w:w="1704"/>
      </w:tblGrid>
      <w:tr w:rsidR="00FE410D" w:rsidRPr="00BE565E" w:rsidTr="0049753A">
        <w:trPr>
          <w:tblCellSpacing w:w="0" w:type="dxa"/>
          <w:jc w:val="center"/>
        </w:trPr>
        <w:tc>
          <w:tcPr>
            <w:tcW w:w="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D61C0"/>
            <w:vAlign w:val="center"/>
          </w:tcPr>
          <w:p w:rsidR="00FE410D" w:rsidRPr="00BE565E" w:rsidRDefault="00FE410D" w:rsidP="0049753A">
            <w:r w:rsidRPr="00BE565E">
              <w:t>Источник</w:t>
            </w:r>
          </w:p>
        </w:tc>
        <w:tc>
          <w:tcPr>
            <w:tcW w:w="5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D61C0"/>
            <w:vAlign w:val="center"/>
          </w:tcPr>
          <w:p w:rsidR="00FE410D" w:rsidRPr="00BE565E" w:rsidRDefault="00FE410D" w:rsidP="0049753A">
            <w:r w:rsidRPr="00BE565E">
              <w:t>ПП</w:t>
            </w:r>
            <w:r>
              <w:t xml:space="preserve">, </w:t>
            </w:r>
            <w:r w:rsidRPr="00BE565E">
              <w:t>мкВт/см2</w:t>
            </w:r>
          </w:p>
        </w:tc>
        <w:tc>
          <w:tcPr>
            <w:tcW w:w="12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D61C0"/>
            <w:vAlign w:val="center"/>
          </w:tcPr>
          <w:p w:rsidR="00FE410D" w:rsidRPr="00BE565E" w:rsidRDefault="00FE410D" w:rsidP="0049753A">
            <w:r w:rsidRPr="00BE565E">
              <w:t>Эффект</w:t>
            </w:r>
          </w:p>
        </w:tc>
        <w:tc>
          <w:tcPr>
            <w:tcW w:w="8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D61C0"/>
            <w:vAlign w:val="center"/>
          </w:tcPr>
          <w:p w:rsidR="00FE410D" w:rsidRPr="00BE565E" w:rsidRDefault="00FE410D" w:rsidP="0049753A">
            <w:r w:rsidRPr="00BE565E">
              <w:t>Мобильный телефон*</w:t>
            </w:r>
          </w:p>
        </w:tc>
        <w:tc>
          <w:tcPr>
            <w:tcW w:w="5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D61C0"/>
            <w:vAlign w:val="center"/>
          </w:tcPr>
          <w:p w:rsidR="00FE410D" w:rsidRPr="00BE565E" w:rsidRDefault="00FE410D" w:rsidP="0049753A">
            <w:r w:rsidRPr="00BE565E">
              <w:t xml:space="preserve">БС** </w:t>
            </w:r>
          </w:p>
        </w:tc>
        <w:tc>
          <w:tcPr>
            <w:tcW w:w="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D61C0"/>
            <w:vAlign w:val="center"/>
          </w:tcPr>
          <w:p w:rsidR="00FE410D" w:rsidRPr="00BE565E" w:rsidRDefault="00FE410D" w:rsidP="0049753A">
            <w:r w:rsidRPr="00BE565E">
              <w:t>Превышение</w:t>
            </w:r>
          </w:p>
        </w:tc>
      </w:tr>
      <w:tr w:rsidR="00FE410D" w:rsidRPr="00BE565E" w:rsidTr="0049753A">
        <w:trPr>
          <w:tblCellSpacing w:w="0" w:type="dxa"/>
          <w:jc w:val="center"/>
        </w:trPr>
        <w:tc>
          <w:tcPr>
            <w:tcW w:w="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DF7DD"/>
            <w:vAlign w:val="center"/>
          </w:tcPr>
          <w:p w:rsidR="00FE410D" w:rsidRPr="00BE565E" w:rsidRDefault="00FE410D" w:rsidP="0049753A">
            <w:r w:rsidRPr="00BE565E">
              <w:t>Резонанс Шумана</w:t>
            </w:r>
          </w:p>
        </w:tc>
        <w:tc>
          <w:tcPr>
            <w:tcW w:w="5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DF7DD"/>
            <w:vAlign w:val="center"/>
          </w:tcPr>
          <w:p w:rsidR="00FE410D" w:rsidRPr="00BE565E" w:rsidRDefault="00FE410D" w:rsidP="0049753A">
            <w:r w:rsidRPr="00BE565E">
              <w:t>0</w:t>
            </w:r>
            <w:r>
              <w:t xml:space="preserve">, </w:t>
            </w:r>
            <w:r w:rsidRPr="00BE565E">
              <w:t>0000001</w:t>
            </w:r>
          </w:p>
        </w:tc>
        <w:tc>
          <w:tcPr>
            <w:tcW w:w="12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DF7DD"/>
            <w:vAlign w:val="center"/>
          </w:tcPr>
          <w:p w:rsidR="00FE410D" w:rsidRPr="00BE565E" w:rsidRDefault="00FE410D" w:rsidP="0049753A">
            <w:r w:rsidRPr="00BE565E">
              <w:t>Воздействие на мозг</w:t>
            </w:r>
          </w:p>
        </w:tc>
        <w:tc>
          <w:tcPr>
            <w:tcW w:w="8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DF7DD"/>
            <w:vAlign w:val="center"/>
          </w:tcPr>
          <w:p w:rsidR="00FE410D" w:rsidRPr="00BE565E" w:rsidRDefault="00FE410D" w:rsidP="0049753A">
            <w:smartTag w:uri="urn:schemas-microsoft-com:office:smarttags" w:element="metricconverter">
              <w:smartTagPr>
                <w:attr w:name="ProductID" w:val="25 км"/>
              </w:smartTagPr>
              <w:r w:rsidRPr="00BE565E">
                <w:t>25 км</w:t>
              </w:r>
            </w:smartTag>
          </w:p>
        </w:tc>
        <w:tc>
          <w:tcPr>
            <w:tcW w:w="5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DF7DD"/>
            <w:vAlign w:val="center"/>
          </w:tcPr>
          <w:p w:rsidR="00FE410D" w:rsidRPr="00BE565E" w:rsidRDefault="00FE410D" w:rsidP="0049753A">
            <w:smartTag w:uri="urn:schemas-microsoft-com:office:smarttags" w:element="metricconverter">
              <w:smartTagPr>
                <w:attr w:name="ProductID" w:val="900 км"/>
              </w:smartTagPr>
              <w:r w:rsidRPr="00BE565E">
                <w:t>900 км</w:t>
              </w:r>
            </w:smartTag>
          </w:p>
        </w:tc>
        <w:tc>
          <w:tcPr>
            <w:tcW w:w="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DF7DD"/>
            <w:vAlign w:val="center"/>
          </w:tcPr>
          <w:p w:rsidR="00FE410D" w:rsidRPr="00BE565E" w:rsidRDefault="00FE410D" w:rsidP="0049753A">
            <w:r w:rsidRPr="00BE565E">
              <w:t>-</w:t>
            </w:r>
          </w:p>
        </w:tc>
      </w:tr>
      <w:tr w:rsidR="00FE410D" w:rsidRPr="00BE565E" w:rsidTr="0049753A">
        <w:trPr>
          <w:tblCellSpacing w:w="0" w:type="dxa"/>
          <w:jc w:val="center"/>
        </w:trPr>
        <w:tc>
          <w:tcPr>
            <w:tcW w:w="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DE7D9"/>
            <w:vAlign w:val="center"/>
          </w:tcPr>
          <w:p w:rsidR="00FE410D" w:rsidRPr="00BE565E" w:rsidRDefault="00FE410D" w:rsidP="0049753A">
            <w:r w:rsidRPr="00BE565E">
              <w:t>Естественный электромагнитный фон</w:t>
            </w:r>
          </w:p>
        </w:tc>
        <w:tc>
          <w:tcPr>
            <w:tcW w:w="5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DE7D9"/>
            <w:vAlign w:val="center"/>
          </w:tcPr>
          <w:p w:rsidR="00FE410D" w:rsidRPr="00BE565E" w:rsidRDefault="00FE410D" w:rsidP="0049753A">
            <w:r w:rsidRPr="00BE565E">
              <w:t>0</w:t>
            </w:r>
            <w:r>
              <w:t xml:space="preserve">, </w:t>
            </w:r>
            <w:r w:rsidRPr="00BE565E">
              <w:t>000001</w:t>
            </w:r>
          </w:p>
        </w:tc>
        <w:tc>
          <w:tcPr>
            <w:tcW w:w="12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DE7D9"/>
            <w:vAlign w:val="center"/>
          </w:tcPr>
          <w:p w:rsidR="00FE410D" w:rsidRPr="00BE565E" w:rsidRDefault="00FE410D" w:rsidP="0049753A">
            <w:r>
              <w:t xml:space="preserve"> </w:t>
            </w:r>
          </w:p>
        </w:tc>
        <w:tc>
          <w:tcPr>
            <w:tcW w:w="8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DE7D9"/>
            <w:vAlign w:val="center"/>
          </w:tcPr>
          <w:p w:rsidR="00FE410D" w:rsidRPr="00BE565E" w:rsidRDefault="00FE410D" w:rsidP="0049753A">
            <w:smartTag w:uri="urn:schemas-microsoft-com:office:smarttags" w:element="metricconverter">
              <w:smartTagPr>
                <w:attr w:name="ProductID" w:val="2500 м"/>
              </w:smartTagPr>
              <w:r w:rsidRPr="00BE565E">
                <w:t>2500 м</w:t>
              </w:r>
            </w:smartTag>
          </w:p>
        </w:tc>
        <w:tc>
          <w:tcPr>
            <w:tcW w:w="5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DE7D9"/>
            <w:vAlign w:val="center"/>
          </w:tcPr>
          <w:p w:rsidR="00FE410D" w:rsidRPr="00BE565E" w:rsidRDefault="00FE410D" w:rsidP="0049753A">
            <w:smartTag w:uri="urn:schemas-microsoft-com:office:smarttags" w:element="metricconverter">
              <w:smartTagPr>
                <w:attr w:name="ProductID" w:val="90 км"/>
              </w:smartTagPr>
              <w:r w:rsidRPr="00BE565E">
                <w:t>90 км</w:t>
              </w:r>
            </w:smartTag>
          </w:p>
        </w:tc>
        <w:tc>
          <w:tcPr>
            <w:tcW w:w="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DE7D9"/>
            <w:vAlign w:val="center"/>
          </w:tcPr>
          <w:p w:rsidR="00FE410D" w:rsidRPr="00BE565E" w:rsidRDefault="00FE410D" w:rsidP="0049753A">
            <w:r w:rsidRPr="00BE565E">
              <w:t>10 раз</w:t>
            </w:r>
          </w:p>
        </w:tc>
      </w:tr>
      <w:tr w:rsidR="00FE410D" w:rsidRPr="00BE565E" w:rsidTr="0049753A">
        <w:trPr>
          <w:tblCellSpacing w:w="0" w:type="dxa"/>
          <w:jc w:val="center"/>
        </w:trPr>
        <w:tc>
          <w:tcPr>
            <w:tcW w:w="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CDAC2"/>
            <w:vAlign w:val="center"/>
          </w:tcPr>
          <w:p w:rsidR="00FE410D" w:rsidRPr="00BE565E" w:rsidRDefault="00FE410D" w:rsidP="0049753A">
            <w:r w:rsidRPr="00BE565E">
              <w:t>Техногенно-измененный фон (среднее значение)</w:t>
            </w:r>
          </w:p>
        </w:tc>
        <w:tc>
          <w:tcPr>
            <w:tcW w:w="5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CDAC2"/>
            <w:vAlign w:val="center"/>
          </w:tcPr>
          <w:p w:rsidR="00FE410D" w:rsidRPr="00BE565E" w:rsidRDefault="00FE410D" w:rsidP="0049753A">
            <w:r w:rsidRPr="00BE565E">
              <w:t>0</w:t>
            </w:r>
            <w:r>
              <w:t xml:space="preserve">, </w:t>
            </w:r>
            <w:r w:rsidRPr="00BE565E">
              <w:t>01</w:t>
            </w:r>
          </w:p>
        </w:tc>
        <w:tc>
          <w:tcPr>
            <w:tcW w:w="12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CDAC2"/>
            <w:vAlign w:val="center"/>
          </w:tcPr>
          <w:p w:rsidR="00FE410D" w:rsidRPr="00BE565E" w:rsidRDefault="00FE410D" w:rsidP="0049753A">
            <w:r w:rsidRPr="00BE565E">
              <w:t>Изменение уровеня мелатонина в мозгу человека</w:t>
            </w:r>
            <w:r>
              <w:t xml:space="preserve">, </w:t>
            </w:r>
            <w:r w:rsidRPr="00BE565E">
              <w:t>изменение электроэнцефалограммы</w:t>
            </w:r>
            <w:r>
              <w:t xml:space="preserve">, </w:t>
            </w:r>
            <w:r w:rsidRPr="00BE565E">
              <w:t>обратимые повреждения ДНК.</w:t>
            </w:r>
          </w:p>
        </w:tc>
        <w:tc>
          <w:tcPr>
            <w:tcW w:w="8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CDAC2"/>
            <w:vAlign w:val="center"/>
          </w:tcPr>
          <w:p w:rsidR="00FE410D" w:rsidRPr="00BE565E" w:rsidRDefault="00FE410D" w:rsidP="0049753A">
            <w:smartTag w:uri="urn:schemas-microsoft-com:office:smarttags" w:element="metricconverter">
              <w:smartTagPr>
                <w:attr w:name="ProductID" w:val="25 м"/>
              </w:smartTagPr>
              <w:r w:rsidRPr="00BE565E">
                <w:t>25 м</w:t>
              </w:r>
            </w:smartTag>
          </w:p>
        </w:tc>
        <w:tc>
          <w:tcPr>
            <w:tcW w:w="5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CDAC2"/>
            <w:vAlign w:val="center"/>
          </w:tcPr>
          <w:p w:rsidR="00FE410D" w:rsidRPr="00BE565E" w:rsidRDefault="00FE410D" w:rsidP="0049753A">
            <w:smartTag w:uri="urn:schemas-microsoft-com:office:smarttags" w:element="metricconverter">
              <w:smartTagPr>
                <w:attr w:name="ProductID" w:val="900 м"/>
              </w:smartTagPr>
              <w:r w:rsidRPr="00BE565E">
                <w:t>900 м</w:t>
              </w:r>
            </w:smartTag>
          </w:p>
        </w:tc>
        <w:tc>
          <w:tcPr>
            <w:tcW w:w="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CDAC2"/>
            <w:vAlign w:val="center"/>
          </w:tcPr>
          <w:p w:rsidR="00FE410D" w:rsidRPr="00BE565E" w:rsidRDefault="00FE410D" w:rsidP="0049753A">
            <w:r w:rsidRPr="00BE565E">
              <w:t>100000 раз</w:t>
            </w:r>
          </w:p>
        </w:tc>
      </w:tr>
      <w:tr w:rsidR="00FE410D" w:rsidRPr="00BE565E" w:rsidTr="0049753A">
        <w:trPr>
          <w:tblCellSpacing w:w="0" w:type="dxa"/>
          <w:jc w:val="center"/>
        </w:trPr>
        <w:tc>
          <w:tcPr>
            <w:tcW w:w="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BCBA8"/>
            <w:vAlign w:val="center"/>
          </w:tcPr>
          <w:p w:rsidR="00FE410D" w:rsidRPr="00BE565E" w:rsidRDefault="00FE410D" w:rsidP="0049753A">
            <w:r w:rsidRPr="00BE565E">
              <w:t>Нормируемое</w:t>
            </w:r>
            <w:r>
              <w:t xml:space="preserve"> </w:t>
            </w:r>
            <w:r w:rsidRPr="00BE565E">
              <w:t>значение ПП от радиотелефонов.</w:t>
            </w:r>
          </w:p>
        </w:tc>
        <w:tc>
          <w:tcPr>
            <w:tcW w:w="5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BCBA8"/>
            <w:vAlign w:val="center"/>
          </w:tcPr>
          <w:p w:rsidR="00FE410D" w:rsidRPr="00BE565E" w:rsidRDefault="00FE410D" w:rsidP="0049753A">
            <w:r w:rsidRPr="00BE565E">
              <w:t>2</w:t>
            </w:r>
          </w:p>
        </w:tc>
        <w:tc>
          <w:tcPr>
            <w:tcW w:w="12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BCBA8"/>
            <w:vAlign w:val="center"/>
          </w:tcPr>
          <w:p w:rsidR="00FE410D" w:rsidRPr="00BE565E" w:rsidRDefault="00FE410D" w:rsidP="0049753A">
            <w:r w:rsidRPr="00BE565E">
              <w:t>Способен вызывать лейкоз у детей.</w:t>
            </w:r>
          </w:p>
        </w:tc>
        <w:tc>
          <w:tcPr>
            <w:tcW w:w="8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BCBA8"/>
            <w:vAlign w:val="center"/>
          </w:tcPr>
          <w:p w:rsidR="00FE410D" w:rsidRPr="00BE565E" w:rsidRDefault="00FE410D" w:rsidP="0049753A">
            <w:smartTag w:uri="urn:schemas-microsoft-com:office:smarttags" w:element="metricconverter">
              <w:smartTagPr>
                <w:attr w:name="ProductID" w:val="5 м"/>
              </w:smartTagPr>
              <w:r w:rsidRPr="00BE565E">
                <w:t>5 м</w:t>
              </w:r>
            </w:smartTag>
          </w:p>
        </w:tc>
        <w:tc>
          <w:tcPr>
            <w:tcW w:w="5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BCBA8"/>
            <w:vAlign w:val="center"/>
          </w:tcPr>
          <w:p w:rsidR="00FE410D" w:rsidRPr="00BE565E" w:rsidRDefault="00FE410D" w:rsidP="0049753A">
            <w:smartTag w:uri="urn:schemas-microsoft-com:office:smarttags" w:element="metricconverter">
              <w:smartTagPr>
                <w:attr w:name="ProductID" w:val="180 м"/>
              </w:smartTagPr>
              <w:r w:rsidRPr="00BE565E">
                <w:t>180 м</w:t>
              </w:r>
            </w:smartTag>
          </w:p>
        </w:tc>
        <w:tc>
          <w:tcPr>
            <w:tcW w:w="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BCBA8"/>
            <w:vAlign w:val="center"/>
          </w:tcPr>
          <w:p w:rsidR="00FE410D" w:rsidRPr="00BE565E" w:rsidRDefault="00FE410D" w:rsidP="0049753A">
            <w:r w:rsidRPr="00BE565E">
              <w:t>20000000 раз</w:t>
            </w:r>
          </w:p>
        </w:tc>
      </w:tr>
      <w:tr w:rsidR="00FE410D" w:rsidRPr="00BE565E" w:rsidTr="0049753A">
        <w:trPr>
          <w:tblCellSpacing w:w="0" w:type="dxa"/>
          <w:jc w:val="center"/>
        </w:trPr>
        <w:tc>
          <w:tcPr>
            <w:tcW w:w="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BB8D"/>
            <w:vAlign w:val="center"/>
          </w:tcPr>
          <w:p w:rsidR="00FE410D" w:rsidRPr="00BE565E" w:rsidRDefault="00FE410D" w:rsidP="0049753A">
            <w:r w:rsidRPr="00BE565E">
              <w:t>Нормируемое значение ПП от базовых станций (БС) сотовой связи.</w:t>
            </w:r>
          </w:p>
        </w:tc>
        <w:tc>
          <w:tcPr>
            <w:tcW w:w="5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BB8D"/>
            <w:vAlign w:val="center"/>
          </w:tcPr>
          <w:p w:rsidR="00FE410D" w:rsidRPr="00BE565E" w:rsidRDefault="00FE410D" w:rsidP="0049753A">
            <w:r w:rsidRPr="00BE565E">
              <w:t>10</w:t>
            </w:r>
          </w:p>
        </w:tc>
        <w:tc>
          <w:tcPr>
            <w:tcW w:w="12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BB8D"/>
            <w:vAlign w:val="center"/>
          </w:tcPr>
          <w:p w:rsidR="00FE410D" w:rsidRPr="00BE565E" w:rsidRDefault="00FE410D" w:rsidP="0049753A">
            <w:r w:rsidRPr="00BE565E">
              <w:t>Необратимые повреждения ДНК</w:t>
            </w:r>
          </w:p>
        </w:tc>
        <w:tc>
          <w:tcPr>
            <w:tcW w:w="8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BB8D"/>
            <w:vAlign w:val="center"/>
          </w:tcPr>
          <w:p w:rsidR="00FE410D" w:rsidRPr="00BE565E" w:rsidRDefault="00FE410D" w:rsidP="0049753A">
            <w:smartTag w:uri="urn:schemas-microsoft-com:office:smarttags" w:element="metricconverter">
              <w:smartTagPr>
                <w:attr w:name="ProductID" w:val="0.8 м"/>
              </w:smartTagPr>
              <w:r w:rsidRPr="00BE565E">
                <w:t>0.8 м</w:t>
              </w:r>
            </w:smartTag>
          </w:p>
        </w:tc>
        <w:tc>
          <w:tcPr>
            <w:tcW w:w="5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BB8D"/>
            <w:vAlign w:val="center"/>
          </w:tcPr>
          <w:p w:rsidR="00FE410D" w:rsidRPr="00BE565E" w:rsidRDefault="00FE410D" w:rsidP="0049753A">
            <w:smartTag w:uri="urn:schemas-microsoft-com:office:smarttags" w:element="metricconverter">
              <w:smartTagPr>
                <w:attr w:name="ProductID" w:val="30 м"/>
              </w:smartTagPr>
              <w:r w:rsidRPr="00BE565E">
                <w:t>30 м</w:t>
              </w:r>
            </w:smartTag>
          </w:p>
        </w:tc>
        <w:tc>
          <w:tcPr>
            <w:tcW w:w="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BB8D"/>
            <w:vAlign w:val="center"/>
          </w:tcPr>
          <w:p w:rsidR="00FE410D" w:rsidRPr="00BE565E" w:rsidRDefault="00FE410D" w:rsidP="0049753A">
            <w:r w:rsidRPr="00BE565E">
              <w:t>100000000 раз</w:t>
            </w:r>
          </w:p>
        </w:tc>
      </w:tr>
      <w:tr w:rsidR="00FE410D" w:rsidRPr="00BE565E" w:rsidTr="0049753A">
        <w:trPr>
          <w:tblCellSpacing w:w="0" w:type="dxa"/>
          <w:jc w:val="center"/>
        </w:trPr>
        <w:tc>
          <w:tcPr>
            <w:tcW w:w="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A86C"/>
            <w:vAlign w:val="center"/>
          </w:tcPr>
          <w:p w:rsidR="00FE410D" w:rsidRPr="00BE565E" w:rsidRDefault="00FE410D" w:rsidP="0049753A">
            <w:r w:rsidRPr="00BE565E">
              <w:t>Нормируемое значение ПП от сотовых телефонов.</w:t>
            </w:r>
          </w:p>
        </w:tc>
        <w:tc>
          <w:tcPr>
            <w:tcW w:w="5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A86C"/>
            <w:vAlign w:val="center"/>
          </w:tcPr>
          <w:p w:rsidR="00FE410D" w:rsidRPr="00BE565E" w:rsidRDefault="00FE410D" w:rsidP="0049753A">
            <w:r w:rsidRPr="00BE565E">
              <w:t>100</w:t>
            </w:r>
          </w:p>
        </w:tc>
        <w:tc>
          <w:tcPr>
            <w:tcW w:w="12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A86C"/>
            <w:vAlign w:val="center"/>
          </w:tcPr>
          <w:p w:rsidR="00FE410D" w:rsidRPr="00BE565E" w:rsidRDefault="00FE410D" w:rsidP="0049753A">
            <w:r w:rsidRPr="00BE565E">
              <w:t>В течение 2 минут изменяет проницаемость гемато-энцефалического барьера.</w:t>
            </w:r>
          </w:p>
        </w:tc>
        <w:tc>
          <w:tcPr>
            <w:tcW w:w="8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A86C"/>
            <w:vAlign w:val="center"/>
          </w:tcPr>
          <w:p w:rsidR="00FE410D" w:rsidRPr="00BE565E" w:rsidRDefault="00FE410D" w:rsidP="0049753A">
            <w:smartTag w:uri="urn:schemas-microsoft-com:office:smarttags" w:element="metricconverter">
              <w:smartTagPr>
                <w:attr w:name="ProductID" w:val="25 см"/>
              </w:smartTagPr>
              <w:r w:rsidRPr="00BE565E">
                <w:t>25 см</w:t>
              </w:r>
            </w:smartTag>
          </w:p>
        </w:tc>
        <w:tc>
          <w:tcPr>
            <w:tcW w:w="5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A86C"/>
            <w:vAlign w:val="center"/>
          </w:tcPr>
          <w:p w:rsidR="00FE410D" w:rsidRPr="00BE565E" w:rsidRDefault="00FE410D" w:rsidP="0049753A">
            <w:smartTag w:uri="urn:schemas-microsoft-com:office:smarttags" w:element="metricconverter">
              <w:smartTagPr>
                <w:attr w:name="ProductID" w:val="9 м"/>
              </w:smartTagPr>
              <w:r w:rsidRPr="00BE565E">
                <w:t>9 м</w:t>
              </w:r>
            </w:smartTag>
          </w:p>
        </w:tc>
        <w:tc>
          <w:tcPr>
            <w:tcW w:w="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9A86C"/>
            <w:vAlign w:val="center"/>
          </w:tcPr>
          <w:p w:rsidR="00FE410D" w:rsidRPr="00BE565E" w:rsidRDefault="00FE410D" w:rsidP="0049753A">
            <w:r w:rsidRPr="00BE565E">
              <w:t>1000000000 раз</w:t>
            </w:r>
          </w:p>
        </w:tc>
      </w:tr>
      <w:tr w:rsidR="00FE410D" w:rsidRPr="00BE565E" w:rsidTr="0049753A">
        <w:trPr>
          <w:tblCellSpacing w:w="0" w:type="dxa"/>
          <w:jc w:val="center"/>
        </w:trPr>
        <w:tc>
          <w:tcPr>
            <w:tcW w:w="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8964E"/>
            <w:vAlign w:val="center"/>
          </w:tcPr>
          <w:p w:rsidR="00FE410D" w:rsidRPr="00BE565E" w:rsidRDefault="00FE410D" w:rsidP="0049753A">
            <w:r w:rsidRPr="00BE565E">
              <w:t>Термический эффект</w:t>
            </w:r>
          </w:p>
        </w:tc>
        <w:tc>
          <w:tcPr>
            <w:tcW w:w="55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8964E"/>
            <w:vAlign w:val="center"/>
          </w:tcPr>
          <w:p w:rsidR="00FE410D" w:rsidRPr="00BE565E" w:rsidRDefault="00FE410D" w:rsidP="0049753A">
            <w:r w:rsidRPr="00BE565E">
              <w:t>10000</w:t>
            </w:r>
          </w:p>
        </w:tc>
        <w:tc>
          <w:tcPr>
            <w:tcW w:w="121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8964E"/>
            <w:vAlign w:val="center"/>
          </w:tcPr>
          <w:p w:rsidR="00FE410D" w:rsidRPr="00BE565E" w:rsidRDefault="00FE410D" w:rsidP="0049753A">
            <w:r w:rsidRPr="00BE565E">
              <w:t>Неконтролируемая гибель клеток</w:t>
            </w:r>
          </w:p>
        </w:tc>
        <w:tc>
          <w:tcPr>
            <w:tcW w:w="8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8964E"/>
            <w:vAlign w:val="center"/>
          </w:tcPr>
          <w:p w:rsidR="00FE410D" w:rsidRPr="00BE565E" w:rsidRDefault="00FE410D" w:rsidP="0049753A">
            <w:smartTag w:uri="urn:schemas-microsoft-com:office:smarttags" w:element="metricconverter">
              <w:smartTagPr>
                <w:attr w:name="ProductID" w:val="0.25 см"/>
              </w:smartTagPr>
              <w:r w:rsidRPr="00BE565E">
                <w:t>0.25 см</w:t>
              </w:r>
            </w:smartTag>
          </w:p>
        </w:tc>
        <w:tc>
          <w:tcPr>
            <w:tcW w:w="52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8964E"/>
            <w:vAlign w:val="center"/>
          </w:tcPr>
          <w:p w:rsidR="00FE410D" w:rsidRPr="00BE565E" w:rsidRDefault="00FE410D" w:rsidP="0049753A">
            <w:smartTag w:uri="urn:schemas-microsoft-com:office:smarttags" w:element="metricconverter">
              <w:smartTagPr>
                <w:attr w:name="ProductID" w:val="9 см"/>
              </w:smartTagPr>
              <w:r w:rsidRPr="00BE565E">
                <w:t>9 см</w:t>
              </w:r>
            </w:smartTag>
          </w:p>
        </w:tc>
        <w:tc>
          <w:tcPr>
            <w:tcW w:w="93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8964E"/>
            <w:vAlign w:val="center"/>
          </w:tcPr>
          <w:p w:rsidR="00FE410D" w:rsidRPr="00BE565E" w:rsidRDefault="00FE410D" w:rsidP="0049753A">
            <w:r w:rsidRPr="00BE565E">
              <w:t>100000000000 раз</w:t>
            </w:r>
          </w:p>
        </w:tc>
      </w:tr>
      <w:tr w:rsidR="00FE410D" w:rsidRPr="00BE565E" w:rsidTr="0049753A">
        <w:trPr>
          <w:tblCellSpacing w:w="0" w:type="dxa"/>
          <w:jc w:val="center"/>
        </w:trPr>
        <w:tc>
          <w:tcPr>
            <w:tcW w:w="5000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E410D" w:rsidRPr="00BE565E" w:rsidRDefault="00FE410D" w:rsidP="0049753A">
            <w:r w:rsidRPr="00BE565E">
              <w:t>* В графе указаны расстояния</w:t>
            </w:r>
            <w:r>
              <w:t xml:space="preserve">, </w:t>
            </w:r>
            <w:r w:rsidRPr="00BE565E">
              <w:t>на которых формируется указанное значение ПП от работающего сотового телефона.</w:t>
            </w:r>
          </w:p>
          <w:p w:rsidR="00FE410D" w:rsidRPr="00BE565E" w:rsidRDefault="00FE410D" w:rsidP="0049753A">
            <w:r w:rsidRPr="00BE565E">
              <w:t>** В графе указаны расстояния</w:t>
            </w:r>
            <w:r>
              <w:t xml:space="preserve">, </w:t>
            </w:r>
            <w:r w:rsidRPr="00BE565E">
              <w:t>на которых формируется указанное значение ПП от работающей базовой станции.</w:t>
            </w:r>
          </w:p>
        </w:tc>
      </w:tr>
    </w:tbl>
    <w:p w:rsidR="00FE410D" w:rsidRPr="00BE565E" w:rsidRDefault="00FE410D" w:rsidP="00FE410D">
      <w:pPr>
        <w:spacing w:before="120"/>
        <w:ind w:firstLine="567"/>
        <w:jc w:val="both"/>
      </w:pPr>
      <w:r w:rsidRPr="00BE565E">
        <w:t>За нулевую отметку взято значение ПП резонанса Шумана. Что это такое? Это сверхнизкочастотное электромагнитное воздействие</w:t>
      </w:r>
      <w:r>
        <w:t xml:space="preserve">, </w:t>
      </w:r>
      <w:r w:rsidRPr="00BE565E">
        <w:t>открытое немецким физиком Т.Шуманом</w:t>
      </w:r>
      <w:r>
        <w:t xml:space="preserve">, </w:t>
      </w:r>
      <w:r w:rsidRPr="00BE565E">
        <w:t>которое существовало всегда</w:t>
      </w:r>
      <w:r>
        <w:t xml:space="preserve">, </w:t>
      </w:r>
      <w:r w:rsidRPr="00BE565E">
        <w:t>при воздействии которого происходила эволюция всего живого на Земле и в условиях которого происходило равитие человечества. Откуда оно возникает? Источником сверхнизкого излучения является существование двух заряженных сфер гигантских размеров: токопроводящей земной поверхности вследствие постоянной грозовой деятельности ( в одну секунду на Земле происходит в среднем около 100 гроз)</w:t>
      </w:r>
      <w:r>
        <w:t xml:space="preserve">, </w:t>
      </w:r>
      <w:r w:rsidRPr="00BE565E">
        <w:t xml:space="preserve">а также ионосферы (слой атмосферы на высоте примерно </w:t>
      </w:r>
      <w:smartTag w:uri="urn:schemas-microsoft-com:office:smarttags" w:element="metricconverter">
        <w:smartTagPr>
          <w:attr w:name="ProductID" w:val="100 км"/>
        </w:smartTagPr>
        <w:r w:rsidRPr="00BE565E">
          <w:t>100 км</w:t>
        </w:r>
      </w:smartTag>
      <w:r w:rsidRPr="00BE565E">
        <w:t xml:space="preserve"> от земной поверхности)</w:t>
      </w:r>
      <w:r>
        <w:t xml:space="preserve">, </w:t>
      </w:r>
      <w:r w:rsidRPr="00BE565E">
        <w:t>которая заряжается "солнечным ветром". Между этими сферами находится атмосфера</w:t>
      </w:r>
      <w:r>
        <w:t xml:space="preserve">, </w:t>
      </w:r>
      <w:r w:rsidRPr="00BE565E">
        <w:t>которая является слабым проводником электрического тока. Подобное строение является фактором возникновения в промежуточном слое устойчивых сверхнизкочастотных колебаний</w:t>
      </w:r>
      <w:r>
        <w:t xml:space="preserve">, </w:t>
      </w:r>
      <w:r w:rsidRPr="00BE565E">
        <w:t>которые практически не затухают и имеют фиксированные частоты. Среди них выделяется частота около 8 Гц</w:t>
      </w:r>
      <w:r>
        <w:t xml:space="preserve">, </w:t>
      </w:r>
      <w:r w:rsidRPr="00BE565E">
        <w:t>которая полностью совпадает с частотой альфа-ритма мозга человека. Обратите внимание</w:t>
      </w:r>
      <w:r>
        <w:t xml:space="preserve">, </w:t>
      </w:r>
      <w:r w:rsidRPr="00BE565E">
        <w:t>такая же частота является обязательной во время разговора по мобильному телефону стандарта GSM. Вообще считается</w:t>
      </w:r>
      <w:r>
        <w:t xml:space="preserve">, </w:t>
      </w:r>
      <w:r w:rsidRPr="00BE565E">
        <w:t xml:space="preserve">что резонанс Шумана является связующей ниточкой нас с природой.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Еще в 50-ые годы 20 века было доказано</w:t>
      </w:r>
      <w:r>
        <w:t xml:space="preserve">, </w:t>
      </w:r>
      <w:r w:rsidRPr="00BE565E">
        <w:t>что интенсивность резонанса Шумана непосредственным образом влияет на высшую нервную деятельность человека</w:t>
      </w:r>
      <w:r>
        <w:t xml:space="preserve">, </w:t>
      </w:r>
      <w:r w:rsidRPr="00BE565E">
        <w:t>а также его интеллектуальные способности. При этом следует учитывать</w:t>
      </w:r>
      <w:r>
        <w:t xml:space="preserve">, </w:t>
      </w:r>
      <w:r w:rsidRPr="00BE565E">
        <w:t>что интенсивность волн Шумана крайне низка и составляет всего доли пикоВатт/см2. Отсюда совершенно очевидно</w:t>
      </w:r>
      <w:r>
        <w:t xml:space="preserve">, </w:t>
      </w:r>
      <w:r w:rsidRPr="00BE565E">
        <w:t xml:space="preserve">что даже это крайне малое воздействие способно влиять на человека. Именно поэтому оно и было взято в качестве отправной точки. </w:t>
      </w:r>
    </w:p>
    <w:p w:rsidR="00FE410D" w:rsidRDefault="00FE410D" w:rsidP="00FE410D">
      <w:pPr>
        <w:spacing w:before="120"/>
        <w:ind w:firstLine="567"/>
        <w:jc w:val="both"/>
      </w:pPr>
      <w:r w:rsidRPr="00BE565E">
        <w:t>А теперь сравните другие истояники электросмога и их интенсивности. Их воздействие превышает естественный уровень в миллионы и даже триллионы раз. Следовательно</w:t>
      </w:r>
      <w:r>
        <w:t xml:space="preserve">, </w:t>
      </w:r>
      <w:r w:rsidRPr="00BE565E">
        <w:t>мы живем в условиях чрезвычайно сильного электромагнитного шума</w:t>
      </w:r>
      <w:r>
        <w:t xml:space="preserve">, </w:t>
      </w:r>
      <w:r w:rsidRPr="00BE565E">
        <w:t>который бьет по нашему организму. И стоит ли после этого удивляться</w:t>
      </w:r>
      <w:r>
        <w:t xml:space="preserve">, </w:t>
      </w:r>
      <w:r w:rsidRPr="00BE565E">
        <w:t xml:space="preserve">что мы реагируем на это воздействием изменением своего здоровья и болезнями. </w:t>
      </w:r>
    </w:p>
    <w:p w:rsidR="00FE410D" w:rsidRPr="00D97AB0" w:rsidRDefault="00FE410D" w:rsidP="00FE410D">
      <w:pPr>
        <w:spacing w:before="120"/>
        <w:jc w:val="center"/>
        <w:rPr>
          <w:b/>
          <w:sz w:val="28"/>
        </w:rPr>
      </w:pPr>
      <w:r w:rsidRPr="00D97AB0">
        <w:rPr>
          <w:b/>
          <w:sz w:val="28"/>
        </w:rPr>
        <w:t>Электрочувствительность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 xml:space="preserve">Что такое электрочувствительность?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Это новый термин</w:t>
      </w:r>
      <w:r>
        <w:t xml:space="preserve">, </w:t>
      </w:r>
      <w:r w:rsidRPr="00BE565E">
        <w:t>который недавно вошел в терминологию экологических медиков. Не каждый врач еще знаком с ним. Обозначает повышенную чувствительность к компонентам электросмога</w:t>
      </w:r>
      <w:r>
        <w:t xml:space="preserve">, </w:t>
      </w:r>
      <w:r w:rsidRPr="00BE565E">
        <w:t>т.е. электромагнитным полям различных частот</w:t>
      </w:r>
      <w:r>
        <w:t xml:space="preserve">, </w:t>
      </w:r>
      <w:r w:rsidRPr="00BE565E">
        <w:t xml:space="preserve">начиная со статического электричества и кончая СВЧ диапазоном. Согласно данным Всемирной организации здравоохранения имеется около 5% электрочувствительных индивидуумов.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Каковы основные признаки электрочувствительности? Это</w:t>
      </w:r>
      <w:r>
        <w:t xml:space="preserve">, </w:t>
      </w:r>
      <w:r w:rsidRPr="00BE565E">
        <w:t>в основном</w:t>
      </w:r>
      <w:r>
        <w:t xml:space="preserve">, </w:t>
      </w:r>
      <w:r w:rsidRPr="00BE565E">
        <w:t>неопределенные жалобы</w:t>
      </w:r>
      <w:r>
        <w:t xml:space="preserve">, </w:t>
      </w:r>
      <w:r w:rsidRPr="00BE565E">
        <w:t>которые возникают у человека в результате пребывания его в помещениях (на работе</w:t>
      </w:r>
      <w:r>
        <w:t xml:space="preserve">, </w:t>
      </w:r>
      <w:r w:rsidRPr="00BE565E">
        <w:t>в домашней обстановке) . К наиболее общим можно отнести:</w:t>
      </w:r>
    </w:p>
    <w:p w:rsidR="00FE410D" w:rsidRDefault="00FE410D" w:rsidP="00FE410D">
      <w:pPr>
        <w:spacing w:before="120"/>
        <w:ind w:firstLine="567"/>
        <w:jc w:val="both"/>
      </w:pPr>
      <w:r w:rsidRPr="00BE565E">
        <w:t>Общие симптомы:</w:t>
      </w:r>
    </w:p>
    <w:p w:rsidR="00FE410D" w:rsidRDefault="00FE410D" w:rsidP="00FE410D">
      <w:pPr>
        <w:spacing w:before="120"/>
        <w:ind w:firstLine="567"/>
        <w:jc w:val="both"/>
      </w:pPr>
      <w:r w:rsidRPr="00BE565E">
        <w:t xml:space="preserve">Нарушение концентрации внимания </w:t>
      </w:r>
    </w:p>
    <w:p w:rsidR="00FE410D" w:rsidRDefault="00FE410D" w:rsidP="00FE410D">
      <w:pPr>
        <w:spacing w:before="120"/>
        <w:ind w:firstLine="567"/>
        <w:jc w:val="both"/>
      </w:pPr>
      <w:r w:rsidRPr="00BE565E">
        <w:t>Головные боли</w:t>
      </w:r>
    </w:p>
    <w:p w:rsidR="00FE410D" w:rsidRDefault="00FE410D" w:rsidP="00FE410D">
      <w:pPr>
        <w:spacing w:before="120"/>
        <w:ind w:firstLine="567"/>
        <w:jc w:val="both"/>
      </w:pPr>
      <w:r w:rsidRPr="00BE565E">
        <w:t xml:space="preserve">Слабость </w:t>
      </w:r>
    </w:p>
    <w:p w:rsidR="00FE410D" w:rsidRDefault="00FE410D" w:rsidP="00FE410D">
      <w:pPr>
        <w:spacing w:before="120"/>
        <w:ind w:firstLine="567"/>
        <w:jc w:val="both"/>
      </w:pPr>
      <w:r w:rsidRPr="00BE565E">
        <w:t xml:space="preserve">Потеря работоспособности </w:t>
      </w:r>
    </w:p>
    <w:p w:rsidR="00FE410D" w:rsidRDefault="00FE410D" w:rsidP="00FE410D">
      <w:pPr>
        <w:spacing w:before="120"/>
        <w:ind w:firstLine="567"/>
        <w:jc w:val="both"/>
      </w:pPr>
      <w:r w:rsidRPr="00BE565E">
        <w:t xml:space="preserve">Непреходящая усталость </w:t>
      </w:r>
    </w:p>
    <w:p w:rsidR="00FE410D" w:rsidRDefault="00FE410D" w:rsidP="00FE410D">
      <w:pPr>
        <w:spacing w:before="120"/>
        <w:ind w:firstLine="567"/>
        <w:jc w:val="both"/>
      </w:pPr>
      <w:r w:rsidRPr="00BE565E">
        <w:t xml:space="preserve">Приступы головокружения </w:t>
      </w:r>
    </w:p>
    <w:p w:rsidR="00FE410D" w:rsidRDefault="00FE410D" w:rsidP="00FE410D">
      <w:pPr>
        <w:spacing w:before="120"/>
        <w:ind w:firstLine="567"/>
        <w:jc w:val="both"/>
      </w:pPr>
      <w:r w:rsidRPr="00BE565E">
        <w:t>Плохой</w:t>
      </w:r>
      <w:r>
        <w:t xml:space="preserve">, </w:t>
      </w:r>
      <w:r w:rsidRPr="00BE565E">
        <w:t xml:space="preserve">поверхностный сон </w:t>
      </w:r>
    </w:p>
    <w:p w:rsidR="00FE410D" w:rsidRDefault="00FE410D" w:rsidP="00FE410D">
      <w:pPr>
        <w:spacing w:before="120"/>
        <w:ind w:firstLine="567"/>
        <w:jc w:val="both"/>
      </w:pPr>
      <w:r w:rsidRPr="00BE565E">
        <w:t xml:space="preserve">Потеря сил </w:t>
      </w:r>
    </w:p>
    <w:p w:rsidR="00FE410D" w:rsidRDefault="00FE410D" w:rsidP="00FE410D">
      <w:pPr>
        <w:spacing w:before="120"/>
        <w:ind w:firstLine="567"/>
        <w:jc w:val="both"/>
      </w:pPr>
      <w:r w:rsidRPr="00BE565E">
        <w:t xml:space="preserve">Снижение потенции </w:t>
      </w:r>
    </w:p>
    <w:p w:rsidR="00FE410D" w:rsidRDefault="00FE410D" w:rsidP="00FE410D">
      <w:pPr>
        <w:spacing w:before="120"/>
        <w:ind w:firstLine="567"/>
        <w:jc w:val="both"/>
      </w:pPr>
      <w:r w:rsidRPr="00BE565E">
        <w:t xml:space="preserve">Состояние внутреннего опустошения </w:t>
      </w:r>
    </w:p>
    <w:p w:rsidR="00FE410D" w:rsidRDefault="00FE410D" w:rsidP="00FE410D">
      <w:pPr>
        <w:spacing w:before="120"/>
        <w:ind w:firstLine="567"/>
        <w:jc w:val="both"/>
      </w:pPr>
      <w:r w:rsidRPr="00BE565E">
        <w:t xml:space="preserve">Нестабильность температуры тела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 xml:space="preserve">Аллергические реакции </w:t>
      </w:r>
    </w:p>
    <w:p w:rsidR="00FE410D" w:rsidRDefault="00FE410D" w:rsidP="00FE410D">
      <w:pPr>
        <w:spacing w:before="120"/>
        <w:ind w:firstLine="567"/>
        <w:jc w:val="both"/>
      </w:pPr>
      <w:r w:rsidRPr="00BE565E">
        <w:t>Симптомы со стороны нервной системы:</w:t>
      </w:r>
    </w:p>
    <w:p w:rsidR="00FE410D" w:rsidRDefault="00FE410D" w:rsidP="00FE410D">
      <w:pPr>
        <w:spacing w:before="120"/>
        <w:ind w:firstLine="567"/>
        <w:jc w:val="both"/>
      </w:pPr>
      <w:r w:rsidRPr="00BE565E">
        <w:t xml:space="preserve">Функциональные нарушения центральной и вегетативной нервной систем </w:t>
      </w:r>
    </w:p>
    <w:p w:rsidR="00FE410D" w:rsidRDefault="00FE410D" w:rsidP="00FE410D">
      <w:pPr>
        <w:spacing w:before="120"/>
        <w:ind w:firstLine="567"/>
        <w:jc w:val="both"/>
      </w:pPr>
      <w:r w:rsidRPr="00BE565E">
        <w:t xml:space="preserve">Изменения электроэнцефалограммы </w:t>
      </w:r>
    </w:p>
    <w:p w:rsidR="00FE410D" w:rsidRDefault="00FE410D" w:rsidP="00FE410D">
      <w:pPr>
        <w:spacing w:before="120"/>
        <w:ind w:firstLine="567"/>
        <w:jc w:val="both"/>
      </w:pPr>
      <w:r w:rsidRPr="00BE565E">
        <w:t xml:space="preserve">Неврастенические проявления </w:t>
      </w:r>
    </w:p>
    <w:p w:rsidR="00FE410D" w:rsidRDefault="00FE410D" w:rsidP="00FE410D">
      <w:pPr>
        <w:spacing w:before="120"/>
        <w:ind w:firstLine="567"/>
        <w:jc w:val="both"/>
      </w:pPr>
      <w:r w:rsidRPr="00BE565E">
        <w:t xml:space="preserve">Склонность к потению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 xml:space="preserve">Легкое дрожание пальцев </w:t>
      </w:r>
    </w:p>
    <w:p w:rsidR="00FE410D" w:rsidRDefault="00FE410D" w:rsidP="00FE410D">
      <w:pPr>
        <w:spacing w:before="120"/>
        <w:ind w:firstLine="567"/>
        <w:jc w:val="both"/>
      </w:pPr>
      <w:r w:rsidRPr="00BE565E">
        <w:t>Симтомы со стороны сердечно-сосудистой системы:</w:t>
      </w:r>
      <w:r>
        <w:t xml:space="preserve"> </w:t>
      </w:r>
      <w:r w:rsidRPr="00BE565E">
        <w:t>Кардиоваскулярные нарушения</w:t>
      </w:r>
    </w:p>
    <w:p w:rsidR="00FE410D" w:rsidRDefault="00FE410D" w:rsidP="00FE410D">
      <w:pPr>
        <w:spacing w:before="120"/>
        <w:ind w:firstLine="567"/>
        <w:jc w:val="both"/>
      </w:pPr>
      <w:r w:rsidRPr="00BE565E">
        <w:t xml:space="preserve">Ваготонические нарушения сердечно-сосудистой системы </w:t>
      </w:r>
    </w:p>
    <w:p w:rsidR="00FE410D" w:rsidRDefault="00FE410D" w:rsidP="00FE410D">
      <w:pPr>
        <w:spacing w:before="120"/>
        <w:ind w:firstLine="567"/>
        <w:jc w:val="both"/>
      </w:pPr>
      <w:r w:rsidRPr="00BE565E">
        <w:t xml:space="preserve">Нестабильность пульса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Нестабильность артериального давления.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Реакция со стороны различных систем организма на действие электросмога хорошо видна на следующем рисунке. В нём представлены данные исследования на добровольцах</w:t>
      </w:r>
      <w:r>
        <w:t xml:space="preserve">, </w:t>
      </w:r>
      <w:r w:rsidRPr="00BE565E">
        <w:t>проведенные в Далласком центре экологической медицины (США). Хорошо видно</w:t>
      </w:r>
      <w:r>
        <w:t xml:space="preserve">, </w:t>
      </w:r>
      <w:r w:rsidRPr="00BE565E">
        <w:t>что единственное выраженнное совпадение чувствительности сердечно-сосудистой</w:t>
      </w:r>
      <w:r>
        <w:t xml:space="preserve">, </w:t>
      </w:r>
      <w:r w:rsidRPr="00BE565E">
        <w:t>дыхательной и нервной систем происходит в области частоты 50 Гц. Следовательно</w:t>
      </w:r>
      <w:r>
        <w:t xml:space="preserve">, </w:t>
      </w:r>
      <w:r w:rsidRPr="00BE565E">
        <w:t>организм реагирует на электросмог</w:t>
      </w:r>
      <w:r>
        <w:t xml:space="preserve">, </w:t>
      </w:r>
      <w:r w:rsidRPr="00BE565E">
        <w:t>к сожалению на той частоте</w:t>
      </w:r>
      <w:r>
        <w:t xml:space="preserve">, </w:t>
      </w:r>
      <w:r w:rsidRPr="00BE565E">
        <w:t>с которой наиболее часто сталкиваемся мы как дома</w:t>
      </w:r>
      <w:r>
        <w:t xml:space="preserve">, </w:t>
      </w:r>
      <w:r w:rsidRPr="00BE565E">
        <w:t>так и на работе.На нас эта частота действует и ночью</w:t>
      </w:r>
      <w:r>
        <w:t xml:space="preserve">, </w:t>
      </w:r>
      <w:r w:rsidRPr="00BE565E">
        <w:t>когда организм расслаблен и отдыхает. Вот почему так важно знать распределение электросмога в области нашего спального места и почему так важно первым его санировать.</w:t>
      </w:r>
    </w:p>
    <w:p w:rsidR="00FE410D" w:rsidRPr="00BE565E" w:rsidRDefault="005A4809" w:rsidP="00FE410D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6pt;height:207pt">
            <v:imagedata r:id="rId4" o:title=""/>
          </v:shape>
        </w:pic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Для большинства врачей люди</w:t>
      </w:r>
      <w:r>
        <w:t xml:space="preserve">, </w:t>
      </w:r>
      <w:r w:rsidRPr="00BE565E">
        <w:t xml:space="preserve">страдающие от электросмога не совсем желательные пациенты. Чаще всего им приписывают диагноз астено-вегетативный или астенический синдром.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Наиболее часто электрочувствительность встречается у жителей средней полосы (сюда следует отнести и Беларусь)</w:t>
      </w:r>
      <w:r>
        <w:t xml:space="preserve">, </w:t>
      </w:r>
      <w:r w:rsidRPr="00BE565E">
        <w:t>а также в северных странах. В станах средиземноморья такая патология не встречается. Женщины менее чувствительны с электросмогу</w:t>
      </w:r>
      <w:r>
        <w:t xml:space="preserve">, </w:t>
      </w:r>
      <w:r w:rsidRPr="00BE565E">
        <w:t>чем мужчины. Наиболее выражен этом сиптомокомплекс у "сов" и меньше у "жаворонков". Более чувствительны метеозависимые люди и индивидуумы</w:t>
      </w:r>
      <w:r>
        <w:t xml:space="preserve">, </w:t>
      </w:r>
      <w:r w:rsidRPr="00BE565E">
        <w:t>реагирующие на геомагнитные явления (магнитные бури). Имеют значения ранее перенесенные заболевания</w:t>
      </w:r>
      <w:r>
        <w:t xml:space="preserve">, </w:t>
      </w:r>
      <w:r w:rsidRPr="00BE565E">
        <w:t xml:space="preserve">никотиновая и алкогольная зависимости. Степень проявления электрочувствительности строго индивидуальна.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 xml:space="preserve">Основной причиной электрочувствительности считают пониженный порог реакции тканей и систем организма на воздействие электромагнитных полей различных частот.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Гипотезой</w:t>
      </w:r>
      <w:r>
        <w:t xml:space="preserve">, </w:t>
      </w:r>
      <w:r w:rsidRPr="00BE565E">
        <w:t>объясняющей действие электросмога является явление торможения электрическим и/или магнитным полем любой частоты выработки гормона мелатонина шишковидной железой (эпифизом) в головном мозгу у человека. Мелатонин регулирует биологические ритмы</w:t>
      </w:r>
      <w:r>
        <w:t xml:space="preserve">, </w:t>
      </w:r>
      <w:r w:rsidRPr="00BE565E">
        <w:t xml:space="preserve">в том числе околосуточный ритм. </w:t>
      </w:r>
    </w:p>
    <w:p w:rsidR="00FE410D" w:rsidRPr="00BE565E" w:rsidRDefault="005A4809" w:rsidP="00FE410D">
      <w:pPr>
        <w:spacing w:before="120"/>
        <w:ind w:firstLine="567"/>
        <w:jc w:val="both"/>
      </w:pPr>
      <w:r>
        <w:pict>
          <v:shape id="_x0000_i1026" type="#_x0000_t75" style="width:202.5pt;height:170.25pt">
            <v:imagedata r:id="rId5" o:title=""/>
          </v:shape>
        </w:pic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В результате такого ингибирования эндокринная система человека переходит в возбужденное состояние и нарушаются процессы возбуждения-торможения в коре мозга. Этим электрочувствительность напоминает другой известный симптомокомплекс</w:t>
      </w:r>
      <w:r>
        <w:t xml:space="preserve"> - </w:t>
      </w:r>
      <w:r w:rsidRPr="00BE565E">
        <w:t xml:space="preserve">зимнюю или сезонную депрессию. </w:t>
      </w:r>
    </w:p>
    <w:p w:rsidR="00FE410D" w:rsidRDefault="00FE410D" w:rsidP="00FE410D">
      <w:pPr>
        <w:spacing w:before="120"/>
        <w:ind w:firstLine="567"/>
        <w:jc w:val="both"/>
      </w:pPr>
      <w:r w:rsidRPr="00BE565E">
        <w:t>Согласно последним данные не только компоненты электросмога могут быть ответственны за перечисленную симптоматку. Свой вклад могут вносить стресс</w:t>
      </w:r>
      <w:r>
        <w:t xml:space="preserve">, </w:t>
      </w:r>
      <w:r w:rsidRPr="00BE565E">
        <w:t>шум</w:t>
      </w:r>
      <w:r>
        <w:t xml:space="preserve">, </w:t>
      </w:r>
      <w:r w:rsidRPr="00BE565E">
        <w:t>химические компоненты (формальдегид)</w:t>
      </w:r>
      <w:r>
        <w:t xml:space="preserve">, </w:t>
      </w:r>
      <w:r w:rsidRPr="00BE565E">
        <w:t xml:space="preserve">металлические пломбы (амальгама). Все перечисленные факторы могут усиливать неблагоприятное воздействие электромагнитных полей. </w:t>
      </w:r>
    </w:p>
    <w:p w:rsidR="00FE410D" w:rsidRPr="00D97AB0" w:rsidRDefault="00FE410D" w:rsidP="00FE410D">
      <w:pPr>
        <w:spacing w:before="120"/>
        <w:jc w:val="center"/>
        <w:rPr>
          <w:b/>
          <w:sz w:val="28"/>
        </w:rPr>
      </w:pPr>
      <w:r w:rsidRPr="00D97AB0">
        <w:rPr>
          <w:b/>
          <w:sz w:val="28"/>
        </w:rPr>
        <w:t>Расчет SAR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Если Вы внимательно изучали инструкцию к своему сотовому телефону</w:t>
      </w:r>
      <w:r>
        <w:t xml:space="preserve">, </w:t>
      </w:r>
      <w:r w:rsidRPr="00BE565E">
        <w:t>то должны были обратить внимание на раздел</w:t>
      </w:r>
      <w:r>
        <w:t xml:space="preserve">, </w:t>
      </w:r>
      <w:r w:rsidRPr="00BE565E">
        <w:t>который обычно помещается в конце</w:t>
      </w:r>
      <w:r>
        <w:t xml:space="preserve">, </w:t>
      </w:r>
      <w:r w:rsidRPr="00BE565E">
        <w:t>или в отдельно прилагаемой брошюрке и посвященный безопасности вашего аппарата. В нем Вы обязательно встретите термин SAR. Года три-четыре назад</w:t>
      </w:r>
      <w:r>
        <w:t xml:space="preserve">, </w:t>
      </w:r>
      <w:r w:rsidRPr="00BE565E">
        <w:t>информацию о нем в инструкциях не давали и ее трудно было даже найти в Интернете. Именно благодаря настойчивости потребителей</w:t>
      </w:r>
      <w:r>
        <w:t xml:space="preserve">, </w:t>
      </w:r>
      <w:r w:rsidRPr="00BE565E">
        <w:t>когда стали накапливаться данные о негативных эффектах микроволнового излучения сотовых телефонов</w:t>
      </w:r>
      <w:r>
        <w:t xml:space="preserve">, </w:t>
      </w:r>
      <w:r w:rsidRPr="00BE565E">
        <w:t xml:space="preserve">мы обязаны обнародованиею этих величин.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SAR (Specific Absorption Rate)</w:t>
      </w:r>
      <w:r>
        <w:t xml:space="preserve"> - </w:t>
      </w:r>
      <w:r w:rsidRPr="00BE565E">
        <w:t>это величина удельной поглощенной энергии электромагнитного поля (ЭМП) в тканях человека.Почему удельной? Потому</w:t>
      </w:r>
      <w:r>
        <w:t xml:space="preserve">, </w:t>
      </w:r>
      <w:r w:rsidRPr="00BE565E">
        <w:t>что ее расчет производят на определенную массу ткани</w:t>
      </w:r>
      <w:r>
        <w:t xml:space="preserve">, </w:t>
      </w:r>
      <w:r w:rsidRPr="00BE565E">
        <w:t>чаще всего на килограмм. Почему поглощенной энергии? Дело в том</w:t>
      </w:r>
      <w:r>
        <w:t xml:space="preserve">, </w:t>
      </w:r>
      <w:r w:rsidRPr="00BE565E">
        <w:t>что электромагнитная энергия</w:t>
      </w:r>
      <w:r>
        <w:t xml:space="preserve">, </w:t>
      </w:r>
      <w:r w:rsidRPr="00BE565E">
        <w:t>которая излучается</w:t>
      </w:r>
      <w:r>
        <w:t xml:space="preserve">, </w:t>
      </w:r>
      <w:r w:rsidRPr="00BE565E">
        <w:t>к примеру</w:t>
      </w:r>
      <w:r>
        <w:t xml:space="preserve">, </w:t>
      </w:r>
      <w:r w:rsidRPr="00BE565E">
        <w:t>сотовым телефоном</w:t>
      </w:r>
      <w:r>
        <w:t xml:space="preserve">, </w:t>
      </w:r>
      <w:r w:rsidRPr="00BE565E">
        <w:t>вызывает усиление колебательных</w:t>
      </w:r>
      <w:r>
        <w:t xml:space="preserve">, </w:t>
      </w:r>
      <w:r w:rsidRPr="00BE565E">
        <w:t>вращательных движений молекул</w:t>
      </w:r>
      <w:r>
        <w:t xml:space="preserve">, </w:t>
      </w:r>
      <w:r w:rsidRPr="00BE565E">
        <w:t>что выражается в увеличениием температуры ткани (см. анимацию слева). Величина SAR имеет размерность Вт/кг. Думаю</w:t>
      </w:r>
      <w:r>
        <w:t xml:space="preserve">, </w:t>
      </w:r>
      <w:r w:rsidRPr="00BE565E">
        <w:t>что это понятно! Ватты</w:t>
      </w:r>
      <w:r>
        <w:t xml:space="preserve"> - </w:t>
      </w:r>
      <w:r w:rsidRPr="00BE565E">
        <w:t>это та мощность ЭМП</w:t>
      </w:r>
      <w:r>
        <w:t xml:space="preserve">, </w:t>
      </w:r>
      <w:r w:rsidRPr="00BE565E">
        <w:t xml:space="preserve">которая поглотилась </w:t>
      </w:r>
      <w:smartTag w:uri="urn:schemas-microsoft-com:office:smarttags" w:element="metricconverter">
        <w:smartTagPr>
          <w:attr w:name="ProductID" w:val="1 кг"/>
        </w:smartTagPr>
        <w:r w:rsidRPr="00BE565E">
          <w:t>1 кг</w:t>
        </w:r>
      </w:smartTag>
      <w:r w:rsidRPr="00BE565E">
        <w:t xml:space="preserve"> ткани.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В инструкции к телефону приводятся конкретные значения SAR для данной разновидности аппарата. Так</w:t>
      </w:r>
      <w:r>
        <w:t xml:space="preserve">, </w:t>
      </w:r>
      <w:r w:rsidRPr="00BE565E">
        <w:t>к примеру</w:t>
      </w:r>
      <w:r>
        <w:t xml:space="preserve">, </w:t>
      </w:r>
      <w:r w:rsidRPr="00BE565E">
        <w:t>в инструкции к Motorola V220 написано: "Наибольше значение SAR для данной модели телефона при испытании ее в действии в положении около уха составляет 0</w:t>
      </w:r>
      <w:r>
        <w:t xml:space="preserve">, </w:t>
      </w:r>
      <w:r w:rsidRPr="00BE565E">
        <w:t xml:space="preserve">9 Вт/кг".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Как получена эта величина и велико ли значение</w:t>
      </w:r>
      <w:r>
        <w:t xml:space="preserve">, </w:t>
      </w:r>
      <w:r w:rsidRPr="00BE565E">
        <w:t>равное 0</w:t>
      </w:r>
      <w:r>
        <w:t xml:space="preserve">, </w:t>
      </w:r>
      <w:r w:rsidRPr="00BE565E">
        <w:t>9 Вт/кг. Давайте разберемся в этом. Для определеия SAR у производителей есть два способа. Оба основаны на использовании специальных манекенов. Согласно ним</w:t>
      </w:r>
      <w:r>
        <w:t xml:space="preserve">, </w:t>
      </w:r>
      <w:r w:rsidRPr="00BE565E">
        <w:t>испытуемый телефон помещают в определенном положении около головы манекена (фантома)</w:t>
      </w:r>
      <w:r>
        <w:t xml:space="preserve">, </w:t>
      </w:r>
      <w:r w:rsidRPr="00BE565E">
        <w:t>который слабо напоминает свойства человеческих тканей. Внутри фантома помещают датчики</w:t>
      </w:r>
      <w:r>
        <w:t xml:space="preserve">, </w:t>
      </w:r>
      <w:r w:rsidRPr="00BE565E">
        <w:t>которые измеряют небольшие повышения температуры</w:t>
      </w:r>
      <w:r>
        <w:t xml:space="preserve">, </w:t>
      </w:r>
      <w:r w:rsidRPr="00BE565E">
        <w:t>или измеряют значения плотности потока ЭМП. Естественно</w:t>
      </w:r>
      <w:r>
        <w:t xml:space="preserve">, </w:t>
      </w:r>
      <w:r w:rsidRPr="00BE565E">
        <w:t>датчики должны иметь предельно малые размеры и помещать их нужно в разные точки пространства. Телефон переводят на максимальный режим мощности и регистрируют с помощью компьютера показания датчиков в "голове" фантома. Затем</w:t>
      </w:r>
      <w:r>
        <w:t xml:space="preserve">, </w:t>
      </w:r>
      <w:r w:rsidRPr="00BE565E">
        <w:t>используя инженерные расчеты</w:t>
      </w:r>
      <w:r>
        <w:t xml:space="preserve">, </w:t>
      </w:r>
      <w:r w:rsidRPr="00BE565E">
        <w:t xml:space="preserve">с помощью специальных программ рассчитывают трехмерное распределение электромагнитного поля и на основе этого высчитывают SAR.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Какое значение SAR является приемлемым? До 2001 года такой величиной было значение 2 Вт/кг. С 2001 года его уменьшили (из-за массы данных о негативных медицинских последствиях сотовой связи) до 0</w:t>
      </w:r>
      <w:r>
        <w:t xml:space="preserve">, </w:t>
      </w:r>
      <w:r w:rsidRPr="00BE565E">
        <w:t xml:space="preserve">8 Вт/кг.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Как видно</w:t>
      </w:r>
      <w:r>
        <w:t xml:space="preserve">, </w:t>
      </w:r>
      <w:r w:rsidRPr="00BE565E">
        <w:t>измерить SAR очень сложно. До сих пор нет единой методики. Голова манекена</w:t>
      </w:r>
      <w:r>
        <w:t xml:space="preserve"> - </w:t>
      </w:r>
      <w:r w:rsidRPr="00BE565E">
        <w:t>не голова человека. В голову человека нельзя поместить датчики.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Более того</w:t>
      </w:r>
      <w:r>
        <w:t xml:space="preserve">, </w:t>
      </w:r>
      <w:r w:rsidRPr="00BE565E">
        <w:t>условия измерения лишь отдаленно напоминают реальные условия пользования телефоном. Следовательно</w:t>
      </w:r>
      <w:r>
        <w:t xml:space="preserve">, </w:t>
      </w:r>
      <w:r w:rsidRPr="00BE565E">
        <w:t>надо вести поиск других способов расчета SAR. Может быть более упрощенных и приближенных</w:t>
      </w:r>
      <w:r>
        <w:t xml:space="preserve">, </w:t>
      </w:r>
      <w:r w:rsidRPr="00BE565E">
        <w:t xml:space="preserve">но реально отражающих взаимодействие ЭМП с биологическими структурами.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С другой стороны</w:t>
      </w:r>
      <w:r>
        <w:t xml:space="preserve">, </w:t>
      </w:r>
      <w:r w:rsidRPr="00BE565E">
        <w:t>действительно ли ваш телефон обладает гарантированной фирмой значением SAR. Возьмем весьма распространенный случай. В программное обеспечение вашего мобильника вмешались. Например при предпродажной прошивке</w:t>
      </w:r>
      <w:r>
        <w:t xml:space="preserve">, </w:t>
      </w:r>
      <w:r w:rsidRPr="00BE565E">
        <w:t>при замене программного обеспечения во время ремонта</w:t>
      </w:r>
      <w:r>
        <w:t xml:space="preserve">, </w:t>
      </w:r>
      <w:r w:rsidRPr="00BE565E">
        <w:t>при манипуляциях с инженерным меню и др. А ведь именно программа</w:t>
      </w:r>
      <w:r>
        <w:t xml:space="preserve">, </w:t>
      </w:r>
      <w:r w:rsidRPr="00BE565E">
        <w:t>"зашитая" в микросхемах и находящаяся во внутренностях вашего телефона</w:t>
      </w:r>
      <w:r>
        <w:t xml:space="preserve">, </w:t>
      </w:r>
      <w:r w:rsidRPr="00BE565E">
        <w:t>управляет его выходной мощностью. Например</w:t>
      </w:r>
      <w:r>
        <w:t xml:space="preserve">, </w:t>
      </w:r>
      <w:r w:rsidRPr="00BE565E">
        <w:t>вблизи базовой станции она уменьшает</w:t>
      </w:r>
      <w:r>
        <w:t xml:space="preserve">, </w:t>
      </w:r>
      <w:r w:rsidRPr="00BE565E">
        <w:t>а вдали</w:t>
      </w:r>
      <w:r>
        <w:t xml:space="preserve"> - </w:t>
      </w:r>
      <w:r w:rsidRPr="00BE565E">
        <w:t>увеличивает мощность аппарата. После вышеупомянутых вмешательств уже никто</w:t>
      </w:r>
      <w:r>
        <w:t xml:space="preserve">, </w:t>
      </w:r>
      <w:r w:rsidRPr="00BE565E">
        <w:t xml:space="preserve">особенно производитель не сможет гарантировать излучающую способность мобильника. И тогда возле вашей головы окажется довольно мощная радиостанция.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С учетом всего описанного</w:t>
      </w:r>
      <w:r>
        <w:t xml:space="preserve">, </w:t>
      </w:r>
      <w:r w:rsidRPr="00BE565E">
        <w:t>для анализа излучающей способности мобильных телефонов нами разработана уникальная методика</w:t>
      </w:r>
      <w:r>
        <w:t xml:space="preserve">, </w:t>
      </w:r>
      <w:r w:rsidRPr="00BE565E">
        <w:t>а также компьютерная программа для моделирования распределения SAR в тканях и органах человека в условиях</w:t>
      </w:r>
      <w:r>
        <w:t xml:space="preserve">, </w:t>
      </w:r>
      <w:r w:rsidRPr="00BE565E">
        <w:t>приближенных к реальности. При этом рассчитываются усредненные значения SAR в наиболее значимых тканях: коже головы</w:t>
      </w:r>
      <w:r>
        <w:t xml:space="preserve">, </w:t>
      </w:r>
      <w:r w:rsidRPr="00BE565E">
        <w:t>костной ткани черепа</w:t>
      </w:r>
      <w:r>
        <w:t xml:space="preserve">, </w:t>
      </w:r>
      <w:r w:rsidRPr="00BE565E">
        <w:t>сером и белом веществе мозга</w:t>
      </w:r>
      <w:r>
        <w:t xml:space="preserve">, </w:t>
      </w:r>
      <w:r w:rsidRPr="00BE565E">
        <w:t>слуховом нерве</w:t>
      </w:r>
      <w:r>
        <w:t xml:space="preserve">, </w:t>
      </w:r>
      <w:r w:rsidRPr="00BE565E">
        <w:t>мозжечке</w:t>
      </w:r>
      <w:r>
        <w:t xml:space="preserve">, </w:t>
      </w:r>
      <w:r w:rsidRPr="00BE565E">
        <w:t>хрусталике глаза</w:t>
      </w:r>
      <w:r>
        <w:t xml:space="preserve">, </w:t>
      </w:r>
      <w:r w:rsidRPr="00BE565E">
        <w:t>щитовидной железе (почему именно эти ткани</w:t>
      </w:r>
      <w:r>
        <w:t xml:space="preserve">, </w:t>
      </w:r>
      <w:r w:rsidRPr="00BE565E">
        <w:t>щелкните по ссылке). Более того</w:t>
      </w:r>
      <w:r>
        <w:t xml:space="preserve">, </w:t>
      </w:r>
      <w:r w:rsidRPr="00BE565E">
        <w:t>графические возможности программы позволяют визуально представить распределение SAR внутри головы пользователя. В результате подобных расчетов можно увидеть</w:t>
      </w:r>
      <w:r>
        <w:t xml:space="preserve">, </w:t>
      </w:r>
      <w:r w:rsidRPr="00BE565E">
        <w:t>превышены или находятся в пределах нормы рассчитанные показатели. Если они не превышены</w:t>
      </w:r>
      <w:r>
        <w:t xml:space="preserve">, </w:t>
      </w:r>
      <w:r w:rsidRPr="00BE565E">
        <w:t xml:space="preserve">то все в порядке. Таким телефоном можно смело и без опасений пользоваться.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На нижних рисунках показаны результаты сравнения двух мобильных телефонов: слева Motorola V220 и справа Philips 330. Зеленой линией показано нормированное значение SAR (0</w:t>
      </w:r>
      <w:r>
        <w:t xml:space="preserve">, </w:t>
      </w:r>
      <w:r w:rsidRPr="00BE565E">
        <w:t>8 Вт/кг). Красная линия показывает распределение SAR в сером</w:t>
      </w:r>
      <w:r>
        <w:t xml:space="preserve">, </w:t>
      </w:r>
      <w:r w:rsidRPr="00BE565E">
        <w:t>фиолетовая</w:t>
      </w:r>
      <w:r>
        <w:t xml:space="preserve"> - </w:t>
      </w:r>
      <w:r w:rsidRPr="00BE565E">
        <w:t>белом веществе мозга. Хотя плотность потока обоих телефонов не превышает гигиенических нормативов</w:t>
      </w:r>
      <w:r>
        <w:t xml:space="preserve">, </w:t>
      </w:r>
      <w:r w:rsidRPr="00BE565E">
        <w:t>значение SAR в мозгу от Motorola V220 превышает установленную норму почти в 2 раза. Напротив</w:t>
      </w:r>
      <w:r>
        <w:t xml:space="preserve">, </w:t>
      </w:r>
      <w:r w:rsidRPr="00BE565E">
        <w:t xml:space="preserve">Philips 330 характеризуется довольно низкими значениями SAR для всех органов. </w:t>
      </w:r>
    </w:p>
    <w:p w:rsidR="00FE410D" w:rsidRDefault="005A4809" w:rsidP="00FE410D">
      <w:pPr>
        <w:spacing w:before="120"/>
        <w:ind w:firstLine="567"/>
        <w:jc w:val="both"/>
      </w:pPr>
      <w:r>
        <w:pict>
          <v:shape id="_x0000_i1027" type="#_x0000_t75" style="width:243.75pt;height:272.25pt">
            <v:imagedata r:id="rId6" o:title=""/>
          </v:shape>
        </w:pict>
      </w:r>
    </w:p>
    <w:p w:rsidR="00FE410D" w:rsidRPr="00BE565E" w:rsidRDefault="005A4809" w:rsidP="00FE410D">
      <w:pPr>
        <w:spacing w:before="120"/>
        <w:ind w:firstLine="567"/>
        <w:jc w:val="both"/>
      </w:pPr>
      <w:r>
        <w:pict>
          <v:shape id="_x0000_i1028" type="#_x0000_t75" style="width:243.75pt;height:272.25pt">
            <v:imagedata r:id="rId7" o:title=""/>
          </v:shape>
        </w:pic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В настоящее время единственным критерием</w:t>
      </w:r>
      <w:r>
        <w:t xml:space="preserve">, </w:t>
      </w:r>
      <w:r w:rsidRPr="00BE565E">
        <w:t>который предложен в гигиенической практике Беларуси и России и позволяет установить безопасность сотового телефона</w:t>
      </w:r>
      <w:r>
        <w:t xml:space="preserve">, </w:t>
      </w:r>
      <w:r w:rsidRPr="00BE565E">
        <w:t>является измерение плотности потока (ПП) ЭМП. Однако</w:t>
      </w:r>
      <w:r>
        <w:t xml:space="preserve">, </w:t>
      </w:r>
      <w:r w:rsidRPr="00BE565E">
        <w:t>наш опыт показывает</w:t>
      </w:r>
      <w:r>
        <w:t xml:space="preserve">, </w:t>
      </w:r>
      <w:r w:rsidRPr="00BE565E">
        <w:t>что не совсем верно. Даже при одинаковых значениях ПП телефоны могут формировать различный SAR. Это обусловлено различными причинами.Например</w:t>
      </w:r>
      <w:r>
        <w:t xml:space="preserve">, </w:t>
      </w:r>
      <w:r w:rsidRPr="00BE565E">
        <w:t>их конструктивными особенностями. Так</w:t>
      </w:r>
      <w:r>
        <w:t xml:space="preserve">, </w:t>
      </w:r>
      <w:r w:rsidRPr="00BE565E">
        <w:t>мобильники без наружной антенны обладают несколько большей направленностью. Это</w:t>
      </w:r>
      <w:r>
        <w:t xml:space="preserve">, </w:t>
      </w:r>
      <w:r w:rsidRPr="00BE565E">
        <w:t>кстати</w:t>
      </w:r>
      <w:r>
        <w:t xml:space="preserve">, </w:t>
      </w:r>
      <w:r w:rsidRPr="00BE565E">
        <w:t>обнаруживается по пропаданию связи в местах с низким уровнем сигнала. Такие телефоны</w:t>
      </w:r>
      <w:r>
        <w:t xml:space="preserve">, </w:t>
      </w:r>
      <w:r w:rsidRPr="00BE565E">
        <w:t xml:space="preserve">даже при одинаковой ПП будут формировать в тканях человека большие значения SAR. </w:t>
      </w:r>
    </w:p>
    <w:p w:rsidR="00FE410D" w:rsidRPr="00BE565E" w:rsidRDefault="00FE410D" w:rsidP="00FE410D">
      <w:pPr>
        <w:spacing w:before="120"/>
        <w:ind w:firstLine="567"/>
        <w:jc w:val="both"/>
      </w:pPr>
      <w:r w:rsidRPr="00BE565E">
        <w:t>В разработанной нами методике моделирования значений SAR в тканях человека использован известный в радиационной дозиметрии принцип консервативности</w:t>
      </w:r>
      <w:r>
        <w:t xml:space="preserve">, </w:t>
      </w:r>
      <w:r w:rsidRPr="00BE565E">
        <w:t>смысл которого состоит в расчете наибольших значений и величин. Это и понятно</w:t>
      </w:r>
      <w:r>
        <w:t xml:space="preserve">, </w:t>
      </w:r>
      <w:r w:rsidRPr="00BE565E">
        <w:t>лучше перестраховаться</w:t>
      </w:r>
      <w:r>
        <w:t xml:space="preserve">, </w:t>
      </w:r>
      <w:r w:rsidRPr="00BE565E">
        <w:t xml:space="preserve">чем недооценить действие небезопасного для человека фактора. 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410D"/>
    <w:rsid w:val="001A35F6"/>
    <w:rsid w:val="0049753A"/>
    <w:rsid w:val="005A4809"/>
    <w:rsid w:val="00811DD4"/>
    <w:rsid w:val="00956EE0"/>
    <w:rsid w:val="009851F9"/>
    <w:rsid w:val="009F5A17"/>
    <w:rsid w:val="00BE565E"/>
    <w:rsid w:val="00D5731F"/>
    <w:rsid w:val="00D97AB0"/>
    <w:rsid w:val="00FE4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  <w15:chartTrackingRefBased/>
  <w15:docId w15:val="{8E66B476-ADAE-4837-AEBA-641E4000B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410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FE410D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2034</Words>
  <Characters>11598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Электромагнитное загрязнение</vt:lpstr>
    </vt:vector>
  </TitlesOfParts>
  <Company>Home</Company>
  <LinksUpToDate>false</LinksUpToDate>
  <CharactersWithSpaces>13605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Электромагнитное загрязнение</dc:title>
  <dc:subject/>
  <dc:creator>User</dc:creator>
  <cp:keywords/>
  <dc:description/>
  <cp:lastModifiedBy>admin</cp:lastModifiedBy>
  <cp:revision>2</cp:revision>
  <dcterms:created xsi:type="dcterms:W3CDTF">2014-02-20T07:18:00Z</dcterms:created>
  <dcterms:modified xsi:type="dcterms:W3CDTF">2014-02-20T07:18:00Z</dcterms:modified>
</cp:coreProperties>
</file>