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9EF" w:rsidRPr="00D86470" w:rsidRDefault="00DF29EF" w:rsidP="00DF29EF">
      <w:pPr>
        <w:spacing w:before="120"/>
        <w:jc w:val="center"/>
        <w:rPr>
          <w:b/>
          <w:bCs/>
          <w:sz w:val="32"/>
          <w:szCs w:val="32"/>
        </w:rPr>
      </w:pPr>
      <w:r w:rsidRPr="00D86470">
        <w:rPr>
          <w:b/>
          <w:bCs/>
          <w:sz w:val="32"/>
          <w:szCs w:val="32"/>
        </w:rPr>
        <w:t>Есть ли смысл в единой ставке НДС</w:t>
      </w:r>
    </w:p>
    <w:p w:rsidR="00DF29EF" w:rsidRPr="00D86470" w:rsidRDefault="00DF29EF" w:rsidP="00DF29EF">
      <w:pPr>
        <w:spacing w:before="120"/>
        <w:jc w:val="center"/>
        <w:rPr>
          <w:sz w:val="28"/>
          <w:szCs w:val="28"/>
        </w:rPr>
      </w:pPr>
      <w:r w:rsidRPr="00D86470">
        <w:rPr>
          <w:sz w:val="28"/>
          <w:szCs w:val="28"/>
        </w:rPr>
        <w:t>Артем Берсенев, специалист Консалтинговой группы «Лекс»</w:t>
      </w:r>
    </w:p>
    <w:p w:rsidR="00DF29EF" w:rsidRPr="00D86470" w:rsidRDefault="00DF29EF" w:rsidP="00DF29EF">
      <w:pPr>
        <w:spacing w:before="120"/>
        <w:ind w:firstLine="567"/>
        <w:jc w:val="both"/>
      </w:pPr>
      <w:r w:rsidRPr="00D86470">
        <w:t>В настоящее время в России налог на добавленную стоимость исчисляют по трем ставкам (18, 10, 0 процентов). Однако специалисты в области налогового права давно ведут дискуссии о единой ставке НДС. Ее размер предлагают установить на уровне от 14 до 17 процентов. Идея о плоской шкале данного налога не лишена оснований.</w:t>
      </w:r>
    </w:p>
    <w:p w:rsidR="00DF29EF" w:rsidRPr="00D86470" w:rsidRDefault="00DF29EF" w:rsidP="00DF29EF">
      <w:pPr>
        <w:spacing w:before="120"/>
        <w:ind w:firstLine="567"/>
        <w:jc w:val="both"/>
      </w:pPr>
      <w:r w:rsidRPr="00D86470">
        <w:t>Говоря о единой ставке НДС, необходимо проанализировать возможные положительные и отрицательные стороны этого нововведения. При этом не лишним будет проанализировать зарубежный опыт стран с единой и дифференцированной ставками. Это позволит, по нашему мнению, сделать вывод о том, в каком размере целесообразно установить ставку налога на добавленную стоимость в России.</w:t>
      </w:r>
    </w:p>
    <w:p w:rsidR="00DF29EF" w:rsidRPr="00D86470" w:rsidRDefault="00DF29EF" w:rsidP="00DF29EF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 xml:space="preserve">Преимущества единой ставки </w:t>
      </w:r>
    </w:p>
    <w:p w:rsidR="00DF29EF" w:rsidRDefault="00DF29EF" w:rsidP="00DF29EF">
      <w:pPr>
        <w:spacing w:before="120"/>
        <w:ind w:firstLine="567"/>
        <w:jc w:val="both"/>
      </w:pPr>
      <w:r w:rsidRPr="00D86470">
        <w:t>В пользу замены дифференцированной ставки НДС, установленной в нашей стране, на единую ставку можно привести очевидные аргументы. Применение единой ставки упрощает для компании процедуру ведения книг покупок, книг продаж, составления счетов-фактур. Также исчезнет необходимость раздельного учета покупок и продаж, облагаемых по разным ставкам. При единой ставке упростится форма налоговой декларации.</w:t>
      </w:r>
    </w:p>
    <w:p w:rsidR="00DF29EF" w:rsidRDefault="00DF29EF" w:rsidP="00DF29EF">
      <w:pPr>
        <w:spacing w:before="120"/>
        <w:ind w:firstLine="567"/>
        <w:jc w:val="both"/>
      </w:pPr>
      <w:r w:rsidRPr="00D86470">
        <w:t>Простой учет, простые счета-фактуры и налоговые декларации, в свою очередь, облегчат организации расчет налога. В то же время это будет способствовать большей эффективности в обучении налогоплательщиков и подготовке кадров для налоговых органов.</w:t>
      </w:r>
    </w:p>
    <w:p w:rsidR="00DF29EF" w:rsidRDefault="00DF29EF" w:rsidP="00DF29EF">
      <w:pPr>
        <w:spacing w:before="120"/>
        <w:ind w:firstLine="567"/>
        <w:jc w:val="both"/>
      </w:pPr>
      <w:r w:rsidRPr="00D86470">
        <w:t>При введении единой ставки автоматически исчезнут ошибки, связанные с выбором правильной ставки по объекту налогообложения. Например, реализация простых пород рыб облагается по ставке 10 процентов. В то же время к реализации ценных пород рыб применяют ставку в размере 18 процентов. На практике бухгалтер нередко ошибается в выборе правильной ставки налога.</w:t>
      </w:r>
    </w:p>
    <w:p w:rsidR="00DF29EF" w:rsidRDefault="00DF29EF" w:rsidP="00DF29EF">
      <w:pPr>
        <w:spacing w:before="120"/>
        <w:ind w:firstLine="567"/>
        <w:jc w:val="both"/>
      </w:pPr>
      <w:r w:rsidRPr="00D86470">
        <w:t xml:space="preserve">Применение единой ставки облегчит аудит и налоговые проверки. Практика показывает, что сегодня 30–40 процентов времени, отведенного на проверки, уходит на анализ и контроль правомерности распределения запасов, закупок и продаж по группам товаров с разными ставками. В то время как при НДС с единой ставкой проверяющие могут сконцентрироваться на других важнейших вопросах. Несомненно, плоская шкала НДС существенно упростит налоговое администрирование. </w:t>
      </w:r>
    </w:p>
    <w:p w:rsidR="00DF29EF" w:rsidRPr="00D86470" w:rsidRDefault="00DF29EF" w:rsidP="00DF29EF">
      <w:pPr>
        <w:spacing w:before="120"/>
        <w:ind w:firstLine="567"/>
        <w:jc w:val="both"/>
      </w:pPr>
      <w:r w:rsidRPr="00D86470">
        <w:t xml:space="preserve">Наряду с прочим единая ставка позволит пресечь всевозможные схемы, основанные на применении различных ставок НДС. Недобросовестные налогоплательщики иногда используют их с целью неправомерного возмещения налога на добавленную стоимость (увеличения налоговых вычетов). В качестве примера такой схемы можно привести ситуацию, связанную с использованием «игрушечной» льготы по НДС . </w:t>
      </w:r>
    </w:p>
    <w:p w:rsidR="00DF29EF" w:rsidRPr="00D86470" w:rsidRDefault="00DF29EF" w:rsidP="00DF29EF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>Негативная сторона</w:t>
      </w:r>
    </w:p>
    <w:p w:rsidR="00DF29EF" w:rsidRPr="00D86470" w:rsidRDefault="00DF29EF" w:rsidP="00DF29EF">
      <w:pPr>
        <w:spacing w:before="120"/>
        <w:ind w:firstLine="567"/>
        <w:jc w:val="both"/>
      </w:pPr>
      <w:r w:rsidRPr="00D86470">
        <w:t>По нашему мнению, есть лишь один отрицательный момент отмены двух ставок НДС в размере 10 и 18 процентов. При единой ставке могут повыситься цены на некоторые социально значимые товары. Это, в свою очередь, негативно отразится на слабозащищенных слоях населения. Например, подорожание хлеба далеко не оптимистично воспримут пенсионеры, студенты, безработные и т. д. Однако эта проблема вполне решаема на государственном уровне. Правительство может целенаправленно дотировать данные категории населения, включая повышение пенсий, стипендий.</w:t>
      </w:r>
    </w:p>
    <w:p w:rsidR="00DF29EF" w:rsidRPr="00D86470" w:rsidRDefault="00DF29EF" w:rsidP="00DF29EF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>Что показывает зарубежный опыт</w:t>
      </w:r>
    </w:p>
    <w:p w:rsidR="00DF29EF" w:rsidRPr="00D86470" w:rsidRDefault="00DF29EF" w:rsidP="00DF29EF">
      <w:pPr>
        <w:spacing w:before="120"/>
        <w:ind w:firstLine="567"/>
        <w:jc w:val="both"/>
      </w:pPr>
      <w:r w:rsidRPr="00D86470">
        <w:t>Исследование международной практики по применению единой и дифференцированных налоговых ставок по НДС показало следующее. В большинстве стран, применяющих НДС, принята одна ставка налога, по которой облагают товары (работы, услуги). В таблице 1 показано, сколько ненулевых ставок применяют в разных странах, имеющих в настоящее время налог на добавленную стоимость.</w:t>
      </w:r>
    </w:p>
    <w:p w:rsidR="00DF29EF" w:rsidRPr="00D86470" w:rsidRDefault="00DF29EF" w:rsidP="00DF29EF">
      <w:pPr>
        <w:spacing w:before="120"/>
        <w:ind w:firstLine="567"/>
        <w:jc w:val="both"/>
      </w:pPr>
      <w:r w:rsidRPr="00D86470">
        <w:t>Таблица 1. Распределение количества ставок НДС по всем странам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9"/>
        <w:gridCol w:w="1480"/>
        <w:gridCol w:w="1488"/>
        <w:gridCol w:w="1829"/>
        <w:gridCol w:w="1568"/>
        <w:gridCol w:w="1754"/>
      </w:tblGrid>
      <w:tr w:rsidR="00DF29EF" w:rsidRPr="00D86470" w:rsidTr="008472EB">
        <w:trPr>
          <w:tblCellSpacing w:w="15" w:type="dxa"/>
        </w:trPr>
        <w:tc>
          <w:tcPr>
            <w:tcW w:w="803" w:type="pct"/>
            <w:vAlign w:val="center"/>
          </w:tcPr>
          <w:p w:rsidR="00DF29EF" w:rsidRPr="00D86470" w:rsidRDefault="00DF29EF" w:rsidP="008472EB">
            <w:r w:rsidRPr="00D86470">
              <w:t xml:space="preserve">Одна ставка </w:t>
            </w:r>
          </w:p>
        </w:tc>
        <w:tc>
          <w:tcPr>
            <w:tcW w:w="745" w:type="pct"/>
            <w:vAlign w:val="center"/>
          </w:tcPr>
          <w:p w:rsidR="00DF29EF" w:rsidRPr="00D86470" w:rsidRDefault="00DF29EF" w:rsidP="008472EB">
            <w:r w:rsidRPr="00D86470">
              <w:t xml:space="preserve">Две ставки </w:t>
            </w:r>
          </w:p>
        </w:tc>
        <w:tc>
          <w:tcPr>
            <w:tcW w:w="749" w:type="pct"/>
            <w:vAlign w:val="center"/>
          </w:tcPr>
          <w:p w:rsidR="00DF29EF" w:rsidRPr="00D86470" w:rsidRDefault="00DF29EF" w:rsidP="008472EB">
            <w:r w:rsidRPr="00D86470">
              <w:t xml:space="preserve">Три ставки </w:t>
            </w:r>
          </w:p>
        </w:tc>
        <w:tc>
          <w:tcPr>
            <w:tcW w:w="925" w:type="pct"/>
            <w:vAlign w:val="center"/>
          </w:tcPr>
          <w:p w:rsidR="00DF29EF" w:rsidRPr="00D86470" w:rsidRDefault="00DF29EF" w:rsidP="008472EB">
            <w:r w:rsidRPr="00D86470">
              <w:t xml:space="preserve">Четыре ставки </w:t>
            </w:r>
          </w:p>
        </w:tc>
        <w:tc>
          <w:tcPr>
            <w:tcW w:w="791" w:type="pct"/>
            <w:vAlign w:val="center"/>
          </w:tcPr>
          <w:p w:rsidR="00DF29EF" w:rsidRPr="00D86470" w:rsidRDefault="00DF29EF" w:rsidP="008472EB">
            <w:r w:rsidRPr="00D86470">
              <w:t xml:space="preserve">Пять ставок </w:t>
            </w:r>
          </w:p>
        </w:tc>
        <w:tc>
          <w:tcPr>
            <w:tcW w:w="879" w:type="pct"/>
            <w:vAlign w:val="center"/>
          </w:tcPr>
          <w:p w:rsidR="00DF29EF" w:rsidRPr="00D86470" w:rsidRDefault="00DF29EF" w:rsidP="008472EB">
            <w:r w:rsidRPr="00D86470">
              <w:t xml:space="preserve">Шесть ставок </w:t>
            </w:r>
          </w:p>
        </w:tc>
      </w:tr>
      <w:tr w:rsidR="00DF29EF" w:rsidRPr="00D86470" w:rsidTr="008472EB">
        <w:trPr>
          <w:tblCellSpacing w:w="15" w:type="dxa"/>
        </w:trPr>
        <w:tc>
          <w:tcPr>
            <w:tcW w:w="803" w:type="pct"/>
            <w:vAlign w:val="center"/>
          </w:tcPr>
          <w:p w:rsidR="00DF29EF" w:rsidRPr="00D86470" w:rsidRDefault="00DF29EF" w:rsidP="008472EB">
            <w:r w:rsidRPr="00D86470">
              <w:t xml:space="preserve">53% </w:t>
            </w:r>
          </w:p>
        </w:tc>
        <w:tc>
          <w:tcPr>
            <w:tcW w:w="745" w:type="pct"/>
            <w:vAlign w:val="center"/>
          </w:tcPr>
          <w:p w:rsidR="00DF29EF" w:rsidRPr="00D86470" w:rsidRDefault="00DF29EF" w:rsidP="008472EB">
            <w:r w:rsidRPr="00D86470">
              <w:t xml:space="preserve">23% </w:t>
            </w:r>
          </w:p>
        </w:tc>
        <w:tc>
          <w:tcPr>
            <w:tcW w:w="749" w:type="pct"/>
            <w:vAlign w:val="center"/>
          </w:tcPr>
          <w:p w:rsidR="00DF29EF" w:rsidRPr="00D86470" w:rsidRDefault="00DF29EF" w:rsidP="008472EB">
            <w:r w:rsidRPr="00D86470">
              <w:t xml:space="preserve">14% </w:t>
            </w:r>
          </w:p>
        </w:tc>
        <w:tc>
          <w:tcPr>
            <w:tcW w:w="925" w:type="pct"/>
            <w:vAlign w:val="center"/>
          </w:tcPr>
          <w:p w:rsidR="00DF29EF" w:rsidRPr="00D86470" w:rsidRDefault="00DF29EF" w:rsidP="008472EB">
            <w:r w:rsidRPr="00D86470">
              <w:t xml:space="preserve">9% </w:t>
            </w:r>
          </w:p>
        </w:tc>
        <w:tc>
          <w:tcPr>
            <w:tcW w:w="791" w:type="pct"/>
            <w:vAlign w:val="center"/>
          </w:tcPr>
          <w:p w:rsidR="00DF29EF" w:rsidRPr="00D86470" w:rsidRDefault="00DF29EF" w:rsidP="008472EB">
            <w:r w:rsidRPr="00D86470">
              <w:t xml:space="preserve">0% </w:t>
            </w:r>
          </w:p>
        </w:tc>
        <w:tc>
          <w:tcPr>
            <w:tcW w:w="879" w:type="pct"/>
            <w:vAlign w:val="center"/>
          </w:tcPr>
          <w:p w:rsidR="00DF29EF" w:rsidRPr="00D86470" w:rsidRDefault="00DF29EF" w:rsidP="008472EB">
            <w:r w:rsidRPr="00D86470">
              <w:t xml:space="preserve">1% </w:t>
            </w:r>
          </w:p>
        </w:tc>
      </w:tr>
    </w:tbl>
    <w:p w:rsidR="00DF29EF" w:rsidRPr="00D86470" w:rsidRDefault="00DF29EF" w:rsidP="00DF29EF">
      <w:pPr>
        <w:spacing w:before="120"/>
        <w:ind w:firstLine="567"/>
        <w:jc w:val="both"/>
      </w:pPr>
      <w:r w:rsidRPr="00D86470">
        <w:t>Стоит также отметить, что, по данным специалистов Международного валютного фонда (МВФ), большинство стран, которые ввели НДС в течение последних десяти лет, выбрали единую ненулевую ставку налога. В таблице 2 приведены общие данные по количеству стран и количеству ненулевых ставок по налогу на добавленную стоимость.</w:t>
      </w:r>
    </w:p>
    <w:p w:rsidR="00DF29EF" w:rsidRPr="00D86470" w:rsidRDefault="00DF29EF" w:rsidP="00DF29EF">
      <w:pPr>
        <w:spacing w:before="120"/>
        <w:ind w:firstLine="567"/>
        <w:jc w:val="both"/>
      </w:pPr>
      <w:r w:rsidRPr="00D86470">
        <w:t>Таблица 2. Распределение по количеству стран, применивших единую ставку (разные ставки) по налогу на добавленную стоимость при его введении</w:t>
      </w: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57"/>
        <w:gridCol w:w="1966"/>
        <w:gridCol w:w="3101"/>
        <w:gridCol w:w="3104"/>
      </w:tblGrid>
      <w:tr w:rsidR="00DF29EF" w:rsidRPr="00D86470" w:rsidTr="008472EB">
        <w:trPr>
          <w:tblCellSpacing w:w="15" w:type="dxa"/>
        </w:trPr>
        <w:tc>
          <w:tcPr>
            <w:tcW w:w="778" w:type="pct"/>
            <w:vAlign w:val="center"/>
          </w:tcPr>
          <w:p w:rsidR="00DF29EF" w:rsidRPr="00D86470" w:rsidRDefault="00DF29EF" w:rsidP="008472EB">
            <w:r w:rsidRPr="00D86470">
              <w:t xml:space="preserve">Дата введения НДС </w:t>
            </w:r>
          </w:p>
        </w:tc>
        <w:tc>
          <w:tcPr>
            <w:tcW w:w="995" w:type="pct"/>
            <w:vAlign w:val="center"/>
          </w:tcPr>
          <w:p w:rsidR="00DF29EF" w:rsidRPr="00D86470" w:rsidRDefault="00DF29EF" w:rsidP="008472EB">
            <w:r w:rsidRPr="00D86470">
              <w:t xml:space="preserve">Количество стран </w:t>
            </w:r>
          </w:p>
        </w:tc>
        <w:tc>
          <w:tcPr>
            <w:tcW w:w="1578" w:type="pct"/>
            <w:vAlign w:val="center"/>
          </w:tcPr>
          <w:p w:rsidR="00DF29EF" w:rsidRPr="00D86470" w:rsidRDefault="00DF29EF" w:rsidP="008472EB">
            <w:r w:rsidRPr="00D86470">
              <w:t xml:space="preserve">Количество стран, применивших единую ставку при введении НДС </w:t>
            </w:r>
          </w:p>
        </w:tc>
        <w:tc>
          <w:tcPr>
            <w:tcW w:w="1572" w:type="pct"/>
            <w:vAlign w:val="center"/>
          </w:tcPr>
          <w:p w:rsidR="00DF29EF" w:rsidRPr="00D86470" w:rsidRDefault="00DF29EF" w:rsidP="008472EB">
            <w:r w:rsidRPr="00D86470">
              <w:t xml:space="preserve">Количество стран, применивших разные ставки при введении НДС </w:t>
            </w:r>
          </w:p>
        </w:tc>
      </w:tr>
      <w:tr w:rsidR="00DF29EF" w:rsidRPr="00D86470" w:rsidTr="008472EB">
        <w:trPr>
          <w:tblCellSpacing w:w="15" w:type="dxa"/>
        </w:trPr>
        <w:tc>
          <w:tcPr>
            <w:tcW w:w="778" w:type="pct"/>
            <w:vAlign w:val="center"/>
          </w:tcPr>
          <w:p w:rsidR="00DF29EF" w:rsidRPr="00D86470" w:rsidRDefault="00DF29EF" w:rsidP="008472EB">
            <w:r w:rsidRPr="00D86470">
              <w:t xml:space="preserve">До 1990 г. </w:t>
            </w:r>
          </w:p>
        </w:tc>
        <w:tc>
          <w:tcPr>
            <w:tcW w:w="995" w:type="pct"/>
            <w:vAlign w:val="center"/>
          </w:tcPr>
          <w:p w:rsidR="00DF29EF" w:rsidRPr="00D86470" w:rsidRDefault="00DF29EF" w:rsidP="008472EB">
            <w:r w:rsidRPr="00D86470">
              <w:t xml:space="preserve">48 </w:t>
            </w:r>
          </w:p>
        </w:tc>
        <w:tc>
          <w:tcPr>
            <w:tcW w:w="1578" w:type="pct"/>
            <w:vAlign w:val="center"/>
          </w:tcPr>
          <w:p w:rsidR="00DF29EF" w:rsidRPr="00D86470" w:rsidRDefault="00DF29EF" w:rsidP="008472EB">
            <w:r w:rsidRPr="00D86470">
              <w:t xml:space="preserve">12 </w:t>
            </w:r>
          </w:p>
        </w:tc>
        <w:tc>
          <w:tcPr>
            <w:tcW w:w="1572" w:type="pct"/>
            <w:vAlign w:val="center"/>
          </w:tcPr>
          <w:p w:rsidR="00DF29EF" w:rsidRPr="00D86470" w:rsidRDefault="00DF29EF" w:rsidP="008472EB">
            <w:r w:rsidRPr="00D86470">
              <w:t xml:space="preserve">36 </w:t>
            </w:r>
          </w:p>
        </w:tc>
      </w:tr>
      <w:tr w:rsidR="00DF29EF" w:rsidRPr="00D86470" w:rsidTr="008472EB">
        <w:trPr>
          <w:tblCellSpacing w:w="15" w:type="dxa"/>
        </w:trPr>
        <w:tc>
          <w:tcPr>
            <w:tcW w:w="778" w:type="pct"/>
            <w:vAlign w:val="center"/>
          </w:tcPr>
          <w:p w:rsidR="00DF29EF" w:rsidRPr="00D86470" w:rsidRDefault="00DF29EF" w:rsidP="008472EB">
            <w:r w:rsidRPr="00D86470">
              <w:t xml:space="preserve">1990–1994 гг. </w:t>
            </w:r>
          </w:p>
        </w:tc>
        <w:tc>
          <w:tcPr>
            <w:tcW w:w="995" w:type="pct"/>
            <w:vAlign w:val="center"/>
          </w:tcPr>
          <w:p w:rsidR="00DF29EF" w:rsidRPr="00D86470" w:rsidRDefault="00DF29EF" w:rsidP="008472EB">
            <w:r w:rsidRPr="00D86470">
              <w:t xml:space="preserve">46 </w:t>
            </w:r>
          </w:p>
        </w:tc>
        <w:tc>
          <w:tcPr>
            <w:tcW w:w="1578" w:type="pct"/>
            <w:vAlign w:val="center"/>
          </w:tcPr>
          <w:p w:rsidR="00DF29EF" w:rsidRPr="00D86470" w:rsidRDefault="00DF29EF" w:rsidP="008472EB">
            <w:r w:rsidRPr="00D86470">
              <w:t xml:space="preserve">31 </w:t>
            </w:r>
          </w:p>
        </w:tc>
        <w:tc>
          <w:tcPr>
            <w:tcW w:w="1572" w:type="pct"/>
            <w:vAlign w:val="center"/>
          </w:tcPr>
          <w:p w:rsidR="00DF29EF" w:rsidRPr="00D86470" w:rsidRDefault="00DF29EF" w:rsidP="008472EB">
            <w:r w:rsidRPr="00D86470">
              <w:t xml:space="preserve">15 </w:t>
            </w:r>
          </w:p>
        </w:tc>
      </w:tr>
      <w:tr w:rsidR="00DF29EF" w:rsidRPr="00D86470" w:rsidTr="008472EB">
        <w:trPr>
          <w:tblCellSpacing w:w="15" w:type="dxa"/>
        </w:trPr>
        <w:tc>
          <w:tcPr>
            <w:tcW w:w="778" w:type="pct"/>
            <w:vAlign w:val="center"/>
          </w:tcPr>
          <w:p w:rsidR="00DF29EF" w:rsidRPr="00D86470" w:rsidRDefault="00DF29EF" w:rsidP="008472EB">
            <w:r w:rsidRPr="00D86470">
              <w:t xml:space="preserve">1995–2001 гг. </w:t>
            </w:r>
          </w:p>
        </w:tc>
        <w:tc>
          <w:tcPr>
            <w:tcW w:w="995" w:type="pct"/>
            <w:vAlign w:val="center"/>
          </w:tcPr>
          <w:p w:rsidR="00DF29EF" w:rsidRPr="00D86470" w:rsidRDefault="00DF29EF" w:rsidP="008472EB">
            <w:r w:rsidRPr="00D86470">
              <w:t xml:space="preserve">30 </w:t>
            </w:r>
          </w:p>
        </w:tc>
        <w:tc>
          <w:tcPr>
            <w:tcW w:w="1578" w:type="pct"/>
            <w:vAlign w:val="center"/>
          </w:tcPr>
          <w:p w:rsidR="00DF29EF" w:rsidRPr="00D86470" w:rsidRDefault="00DF29EF" w:rsidP="008472EB">
            <w:r w:rsidRPr="00D86470">
              <w:t xml:space="preserve">25 </w:t>
            </w:r>
          </w:p>
        </w:tc>
        <w:tc>
          <w:tcPr>
            <w:tcW w:w="1572" w:type="pct"/>
            <w:vAlign w:val="center"/>
          </w:tcPr>
          <w:p w:rsidR="00DF29EF" w:rsidRPr="00D86470" w:rsidRDefault="00DF29EF" w:rsidP="008472EB">
            <w:r w:rsidRPr="00D86470">
              <w:t xml:space="preserve">5 </w:t>
            </w:r>
          </w:p>
        </w:tc>
      </w:tr>
      <w:tr w:rsidR="00DF29EF" w:rsidRPr="00D86470" w:rsidTr="008472EB">
        <w:trPr>
          <w:tblCellSpacing w:w="15" w:type="dxa"/>
        </w:trPr>
        <w:tc>
          <w:tcPr>
            <w:tcW w:w="778" w:type="pct"/>
            <w:vAlign w:val="center"/>
          </w:tcPr>
          <w:p w:rsidR="00DF29EF" w:rsidRPr="00D86470" w:rsidRDefault="00DF29EF" w:rsidP="008472EB">
            <w:r w:rsidRPr="00D86470">
              <w:t xml:space="preserve">Всего </w:t>
            </w:r>
          </w:p>
        </w:tc>
        <w:tc>
          <w:tcPr>
            <w:tcW w:w="995" w:type="pct"/>
            <w:vAlign w:val="center"/>
          </w:tcPr>
          <w:p w:rsidR="00DF29EF" w:rsidRPr="00D86470" w:rsidRDefault="00DF29EF" w:rsidP="008472EB">
            <w:r w:rsidRPr="00D86470">
              <w:t xml:space="preserve">124 </w:t>
            </w:r>
          </w:p>
        </w:tc>
        <w:tc>
          <w:tcPr>
            <w:tcW w:w="1578" w:type="pct"/>
            <w:vAlign w:val="center"/>
          </w:tcPr>
          <w:p w:rsidR="00DF29EF" w:rsidRPr="00D86470" w:rsidRDefault="00DF29EF" w:rsidP="008472EB">
            <w:r w:rsidRPr="00D86470">
              <w:t xml:space="preserve">68 </w:t>
            </w:r>
          </w:p>
        </w:tc>
        <w:tc>
          <w:tcPr>
            <w:tcW w:w="1572" w:type="pct"/>
            <w:vAlign w:val="center"/>
          </w:tcPr>
          <w:p w:rsidR="00DF29EF" w:rsidRPr="00D86470" w:rsidRDefault="00DF29EF" w:rsidP="008472EB">
            <w:r w:rsidRPr="00D86470">
              <w:t xml:space="preserve">56 </w:t>
            </w:r>
          </w:p>
        </w:tc>
      </w:tr>
    </w:tbl>
    <w:p w:rsidR="00DF29EF" w:rsidRDefault="00DF29EF" w:rsidP="00DF29EF">
      <w:pPr>
        <w:spacing w:before="120"/>
        <w:ind w:firstLine="567"/>
        <w:jc w:val="both"/>
      </w:pPr>
      <w:r w:rsidRPr="00D86470">
        <w:t xml:space="preserve">Как свидетельствуют данные таблицы 2, большинство стран, вводивших НДС до 1990 года, устанавливали дифференцированные ставки по налогу. Безусловно, такая шкала носила характер льготного налогообложения. Ее введение преследовало весьма позитивные цели. В частности, пониженные ставки на социально значимые товары стимулировали налогообложение в тех сферах производства, которые требуют поддержки со стороны государства. В то же время при дифференцировании ставок в некоторых странах (Австрия, Турция, Колумбия) встречаются и дестимулирующие ставки НДС. Они установлены в более высоком процентном значении в отличие от основных ставок. Например, НДС на предметы роскоши, некоторые импортные товары. То есть, с одной стороны, увеличивается налоговое бремя на состоятельные слои населения, а с другой стороны, происходит поддержка отечественных производителей. </w:t>
      </w:r>
    </w:p>
    <w:p w:rsidR="00DF29EF" w:rsidRDefault="00DF29EF" w:rsidP="00DF29EF">
      <w:pPr>
        <w:spacing w:before="120"/>
        <w:ind w:firstLine="567"/>
        <w:jc w:val="both"/>
      </w:pPr>
      <w:r w:rsidRPr="00D86470">
        <w:t xml:space="preserve">Однако многие страны в дальнейшем перешли на единую ненулевую ставку по НДС в силу причин, приведенных выше. Но главная из них – упрощение администрирования НДС. </w:t>
      </w:r>
    </w:p>
    <w:p w:rsidR="00DF29EF" w:rsidRDefault="00DF29EF" w:rsidP="00DF29EF">
      <w:pPr>
        <w:spacing w:before="120"/>
        <w:ind w:firstLine="567"/>
        <w:jc w:val="both"/>
      </w:pPr>
      <w:r w:rsidRPr="00D86470">
        <w:t>Показательным является пример опыта стран, являющихся членами Западно-Африканского экономического и валютного союза (ЗАЭВС). Три страны – члены ЗАЭВС – были первыми, которые ввели НДС в странах Африканского континента. Это Кот-д'Ивуар (в 1960 г.), Сенегал (в 1980 г.), и Нигер (в 1986 г.).</w:t>
      </w:r>
    </w:p>
    <w:p w:rsidR="00DF29EF" w:rsidRDefault="00DF29EF" w:rsidP="00DF29EF">
      <w:pPr>
        <w:spacing w:before="120"/>
        <w:ind w:firstLine="567"/>
        <w:jc w:val="both"/>
      </w:pPr>
      <w:r w:rsidRPr="00D86470">
        <w:t>НДС, введенный в этих странах, отличался сложной структурой ставок (по четыре ненулевых ставки в Кот-д’Ивуаре и Сенегале, три – в Нигере) и множеством исключений в виде льгот. Такое функционирование было неудовлетворительным. Бенин учел эту слабую сторону и стал первым среди стран – членов ЗАЭВС, внедрившим НДС с единой ставкой и ограниченным числом налоговых льгот и освобождений (в 1991 г.). Благодаря эффективности этого налога бенинская модель НДС быстро стала образцом для других стран ЗАЭВС.</w:t>
      </w:r>
    </w:p>
    <w:p w:rsidR="00DF29EF" w:rsidRPr="00D86470" w:rsidRDefault="00DF29EF" w:rsidP="00DF29EF">
      <w:pPr>
        <w:spacing w:before="120"/>
        <w:ind w:firstLine="567"/>
        <w:jc w:val="both"/>
      </w:pPr>
      <w:r w:rsidRPr="00D86470">
        <w:t xml:space="preserve">В пользу введения единой ненулевой ставки НДС свидетельствует и тот факт, что с 1990 года большинство стран мира (74%), которые ввели НДС, применяют по налогу только одну основную ставку. Эксперты МВФ подчеркивают, что настоятельно рекомендуют вводить именно одну ненулевую ставку НДС с минимальными льготами по налогу. </w:t>
      </w:r>
    </w:p>
    <w:p w:rsidR="00DF29EF" w:rsidRPr="00D86470" w:rsidRDefault="00DF29EF" w:rsidP="00DF29EF">
      <w:pPr>
        <w:spacing w:before="120"/>
        <w:jc w:val="center"/>
        <w:rPr>
          <w:b/>
          <w:bCs/>
          <w:sz w:val="28"/>
          <w:szCs w:val="28"/>
        </w:rPr>
      </w:pPr>
      <w:r w:rsidRPr="00D86470">
        <w:rPr>
          <w:b/>
          <w:bCs/>
          <w:sz w:val="28"/>
          <w:szCs w:val="28"/>
        </w:rPr>
        <w:t>Какую ставку считать оптимальной для России</w:t>
      </w:r>
    </w:p>
    <w:p w:rsidR="00DF29EF" w:rsidRDefault="00DF29EF" w:rsidP="00DF29EF">
      <w:pPr>
        <w:spacing w:before="120"/>
        <w:ind w:firstLine="567"/>
        <w:jc w:val="both"/>
      </w:pPr>
      <w:r w:rsidRPr="00D86470">
        <w:t>Замена двух действующих сегодня ненулевых ставок НДС одной обеспечит, по нашему мнению, более простой механизм исчисления и регулирования налога. В конечном итоге это позволит уменьшить бремя расходов компании и повысит эффективность работы налоговых органов.</w:t>
      </w:r>
    </w:p>
    <w:p w:rsidR="00DF29EF" w:rsidRDefault="00DF29EF" w:rsidP="00DF29EF">
      <w:pPr>
        <w:spacing w:before="120"/>
        <w:ind w:firstLine="567"/>
        <w:jc w:val="both"/>
      </w:pPr>
      <w:r w:rsidRPr="00D86470">
        <w:t>Чтобы определить оптимальный размер единой ставки по НДС, необходимо провести детальный анализ динамики поступлений налога, исчисленного по действующим ставкам. А затем проанализировать возможные последствия отмены пониженной 10-процентной ставки и снижения основной 18-процентной ставки.</w:t>
      </w:r>
    </w:p>
    <w:p w:rsidR="00DF29EF" w:rsidRDefault="00DF29EF" w:rsidP="00DF29EF">
      <w:pPr>
        <w:spacing w:before="120"/>
        <w:ind w:firstLine="567"/>
        <w:jc w:val="both"/>
      </w:pPr>
      <w:r w:rsidRPr="00D86470">
        <w:t>На наш взгляд, целесообразно ввести единую ставку по налогу на добавленную стоимость в пределах от 13 до 16 процентов. Именно в таких пределах установлены ставки по НДС в других развитых странах. К тому же предлагаемый интервал представляет собой нечто среднее между действующими сегодня ставками – 10 и 18 процентов.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29EF"/>
    <w:rsid w:val="00095BA6"/>
    <w:rsid w:val="0031418A"/>
    <w:rsid w:val="003C3D95"/>
    <w:rsid w:val="005A2562"/>
    <w:rsid w:val="00732EA1"/>
    <w:rsid w:val="008472EB"/>
    <w:rsid w:val="00A44D32"/>
    <w:rsid w:val="00D86470"/>
    <w:rsid w:val="00DF29E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80343D-83F7-44D2-BF4C-6F39617F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E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F2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1125</Words>
  <Characters>6414</Characters>
  <Application>Microsoft Office Word</Application>
  <DocSecurity>0</DocSecurity>
  <Lines>53</Lines>
  <Paragraphs>15</Paragraphs>
  <ScaleCrop>false</ScaleCrop>
  <Company>Home</Company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Есть ли смысл в единой ставке НДС</dc:title>
  <dc:subject/>
  <dc:creator>Alena</dc:creator>
  <cp:keywords/>
  <dc:description/>
  <cp:lastModifiedBy>admin</cp:lastModifiedBy>
  <cp:revision>2</cp:revision>
  <dcterms:created xsi:type="dcterms:W3CDTF">2014-02-18T09:56:00Z</dcterms:created>
  <dcterms:modified xsi:type="dcterms:W3CDTF">2014-02-18T09:56:00Z</dcterms:modified>
</cp:coreProperties>
</file>