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6"/>
      </w:tblGrid>
      <w:tr w:rsidR="00DD7BDC" w:rsidRPr="00DD7BDC" w:rsidTr="00DD7BD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62845" w:rsidRDefault="00162845" w:rsidP="00DD7BDC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7"/>
                <w:szCs w:val="27"/>
              </w:rPr>
            </w:pPr>
          </w:p>
          <w:p w:rsidR="00DD7BDC" w:rsidRPr="00DD7BDC" w:rsidRDefault="00DD7BDC" w:rsidP="00DD7BDC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7"/>
                <w:szCs w:val="27"/>
              </w:rPr>
            </w:pPr>
            <w:r w:rsidRPr="00DD7BDC">
              <w:rPr>
                <w:b/>
                <w:bCs/>
                <w:color w:val="000000"/>
                <w:sz w:val="27"/>
                <w:szCs w:val="27"/>
              </w:rPr>
              <w:t>Федеральный бюджет</w:t>
            </w:r>
          </w:p>
          <w:p w:rsidR="00DD7BDC" w:rsidRPr="00DD7BDC" w:rsidRDefault="00DD7BDC" w:rsidP="00DD7BDC">
            <w:pPr>
              <w:rPr>
                <w:color w:val="000000"/>
              </w:rPr>
            </w:pPr>
            <w:r w:rsidRPr="00DD7BDC">
              <w:rPr>
                <w:color w:val="000000"/>
              </w:rPr>
              <w:t xml:space="preserve">Федеральный бюджет РФ, по данным за январь— июль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., был выполнен по доходам на 71% от установленной законом о федеральном бюджете на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., т. е. с некоторым превышением (7 месяцев от 12 составляет 58%), в то время как по расходам — на 56,9%. Профицит федерального бюджета возрос с 122,8 млрд руб. в январе—июле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 до 167,8 млрд руб. за такой же период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По отношению к ВВП (данные за полугодие) профицит федерального бюджета увеличился с 3,3 до 3,4%, доходы — с 16,4 до 17,8%, а расходы — с 13,1 до 14,5%.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Произошедшие в рассматриваемый период изменения в структуре федерального бюджета показаны в табл. 5. Они даются в двух измерениях — по отношению к итогу по доходам и расходам и по отношению к ВВП.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Таблица 5 </w:t>
            </w:r>
          </w:p>
          <w:p w:rsidR="00DD7BDC" w:rsidRPr="00DD7BDC" w:rsidRDefault="00DD7BDC" w:rsidP="00DD7BDC">
            <w:pPr>
              <w:rPr>
                <w:i/>
                <w:iCs/>
                <w:color w:val="000000"/>
              </w:rPr>
            </w:pPr>
            <w:r w:rsidRPr="00DD7BDC">
              <w:rPr>
                <w:b/>
                <w:bCs/>
                <w:i/>
                <w:iCs/>
                <w:color w:val="000000"/>
              </w:rPr>
              <w:t xml:space="preserve">Структура федерального бюджета РФ в первом полугодии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b/>
                  <w:bCs/>
                  <w:i/>
                  <w:iCs/>
                  <w:color w:val="000000"/>
                </w:rPr>
                <w:t>2000 г</w:t>
              </w:r>
            </w:smartTag>
            <w:r w:rsidRPr="00DD7BDC">
              <w:rPr>
                <w:b/>
                <w:bCs/>
                <w:i/>
                <w:iCs/>
                <w:color w:val="000000"/>
              </w:rPr>
              <w:t xml:space="preserve">. и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b/>
                  <w:bCs/>
                  <w:i/>
                  <w:iCs/>
                  <w:color w:val="000000"/>
                </w:rPr>
                <w:t>2001 г</w:t>
              </w:r>
            </w:smartTag>
            <w:r w:rsidRPr="00DD7BDC">
              <w:rPr>
                <w:b/>
                <w:bCs/>
                <w:i/>
                <w:iCs/>
                <w:color w:val="000000"/>
              </w:rPr>
              <w:t>.</w:t>
            </w:r>
          </w:p>
          <w:p w:rsidR="00DD7BDC" w:rsidRPr="00DD7BDC" w:rsidRDefault="00DD7BDC" w:rsidP="00DD7BDC">
            <w:pPr>
              <w:rPr>
                <w:color w:val="000000"/>
                <w:sz w:val="27"/>
                <w:szCs w:val="27"/>
              </w:rPr>
            </w:pPr>
            <w:r w:rsidRPr="00DD7BDC">
              <w:rPr>
                <w:color w:val="000000"/>
              </w:rPr>
              <w:br/>
              <w:t xml:space="preserve">  </w:t>
            </w:r>
          </w:p>
          <w:tbl>
            <w:tblPr>
              <w:tblW w:w="900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2D3D3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741"/>
              <w:gridCol w:w="963"/>
              <w:gridCol w:w="963"/>
              <w:gridCol w:w="659"/>
              <w:gridCol w:w="674"/>
            </w:tblGrid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Статья бюджета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В % к итогу (январь-июль)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В % к ВВП </w:t>
                  </w:r>
                  <w:r w:rsidRPr="00DD7BDC">
                    <w:rPr>
                      <w:color w:val="000000"/>
                    </w:rPr>
                    <w:br/>
                    <w:t xml:space="preserve">(январь-июнь) 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2000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2001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2000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2001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Доходы, всего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100,0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100,0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16,4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17,8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В том числе: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Налоговые доходы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87,3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92,5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14,3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16,6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Из них: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НДС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35,5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37,9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5,7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6,7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налог на прибыль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14,6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14,1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2,5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2,6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подоходный налог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2,2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0,03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акцизы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12,2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13,6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2,1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2,5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налоги на внешнюю торговлю </w:t>
                  </w:r>
                  <w:r w:rsidRPr="00DD7BDC">
                    <w:rPr>
                      <w:color w:val="000000"/>
                    </w:rPr>
                    <w:br/>
                    <w:t xml:space="preserve">и внешнеэкономические операции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20,5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22,2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3,3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4,0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платежи за пользование природными ресурсами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1,4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2,9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0,5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Неналоговые доходы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5,8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6,7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1,1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Из них от: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внешнеэкономической деятельности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2,9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2,6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0,4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имущества, находящегося в государственной </w:t>
                  </w:r>
                  <w:r w:rsidRPr="00DD7BDC">
                    <w:rPr>
                      <w:color w:val="000000"/>
                    </w:rPr>
                    <w:br/>
                    <w:t xml:space="preserve">и муниципальной собственности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2,2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3,6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0,6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Доходы целевых бюджетных фондов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7,0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1,2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0,1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Расходы, всего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12,8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14,5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В том числе на: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государственное и местное управление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2,6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2,7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10,3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0,4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национальную оборону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19,4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18,7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2,6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2,7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правоохранительную деятельность и обеспечение безопасности государства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10,5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10,0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1,4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1,4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промышленность, энергетику и строительство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1,9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2,5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0,4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сельское хозяйство и рыболовство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1,2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1,1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0,2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охрану окружающей среды и при- родных ресурсов, гидрометеорологию, картографию и геодезию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0,05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транспорт, дорожное хозяйство, связь и информатику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2,5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0,03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0,3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социально-культурные мероприятия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14,3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14,9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1,9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2,1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обслуживание государственного долга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22,9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20,7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2,7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3,2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финансовую помощь бюджетам другого уровня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11,8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18,6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1,5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2,7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расходы целевых бюджетных фондов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8,1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0,9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1,0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0,1</w:t>
                  </w:r>
                </w:p>
              </w:tc>
            </w:tr>
            <w:tr w:rsidR="00DD7BDC" w:rsidRPr="00DD7BDC" w:rsidTr="00DD7BD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Профицит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–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–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 xml:space="preserve">3,3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2D3D3"/>
                  <w:vAlign w:val="center"/>
                </w:tcPr>
                <w:p w:rsidR="00DD7BDC" w:rsidRPr="00DD7BDC" w:rsidRDefault="00DD7BDC" w:rsidP="00DD7BDC">
                  <w:pPr>
                    <w:rPr>
                      <w:color w:val="000000"/>
                    </w:rPr>
                  </w:pPr>
                  <w:r w:rsidRPr="00DD7BDC">
                    <w:rPr>
                      <w:color w:val="000000"/>
                    </w:rPr>
                    <w:t>3,4</w:t>
                  </w:r>
                </w:p>
              </w:tc>
            </w:tr>
          </w:tbl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b/>
                <w:bCs/>
                <w:color w:val="000000"/>
              </w:rPr>
              <w:t>Доходы.</w:t>
            </w:r>
            <w:r w:rsidRPr="00DD7BDC">
              <w:rPr>
                <w:color w:val="000000"/>
              </w:rPr>
              <w:t xml:space="preserve"> К «фундаментальным» структурным сдвигам в структуре доходов федерального бюджета следует отнести прежде всего продолжающееся уже ряд лет повышение удельного веса налогов на внешнюю торговлю и внешнеэкономические операции. В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D7BDC">
                <w:rPr>
                  <w:color w:val="000000"/>
                </w:rPr>
                <w:t>1999 г</w:t>
              </w:r>
            </w:smartTag>
            <w:r w:rsidRPr="00DD7BDC">
              <w:rPr>
                <w:color w:val="000000"/>
              </w:rPr>
              <w:t xml:space="preserve">. их доля составляла 16%, в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 — 20,4, в январе—июле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— уже 22,2%, т.е. и государственные финансы РФ все больше непосредственно зависят от внешнего фактора (опосредствованная зависимость намного выше, чем приведенные цифры).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Менее масштабные, но все же примечательные сдвиги — повышение доли в доходах федерального бюджета платежей за пользование природными ресурсами и доходов от государственного имущества. Принятые недавно законодательные решения о введении единого налога на добычу полезных ископаемых, заменяющего три действующих пока налога — на воспроизводство материально-сырьевой базы, роялти и акциз на нефть, а также о снижении ставки налога на прибыль с 35 до 24% с одновременной отменой почти всех налоговых льгот скажутся на структуре государственных доходов лишь в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D7BDC">
                <w:rPr>
                  <w:color w:val="000000"/>
                </w:rPr>
                <w:t>2002 г</w:t>
              </w:r>
            </w:smartTag>
            <w:r w:rsidRPr="00DD7BDC">
              <w:rPr>
                <w:color w:val="000000"/>
              </w:rPr>
              <w:t xml:space="preserve">. Тогда же, возможно, станет ясно, привела ли налоговая реформа к снижению суммарной налоговой нагрузки (а именно таковыми были декларированные намерения правительства) или нет. По некоторым оценкам, например, понижение налога на прибыль до 24% с отменой льгот на самом деле должно привести к повышению реальной налоговой нагрузки, так как эффективная ставка налога на прибыль с учетом льгот составляла в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 лишь около 20%.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b/>
                <w:bCs/>
                <w:color w:val="000000"/>
              </w:rPr>
              <w:t xml:space="preserve">Расходы. </w:t>
            </w:r>
            <w:r w:rsidRPr="00DD7BDC">
              <w:rPr>
                <w:color w:val="000000"/>
              </w:rPr>
              <w:t xml:space="preserve">В расходной части федерального бюджета основной статьей остается обслуживание госдолга. Реальные затраты на народнохозяйственные цели в относительном измерении в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почти не изменились. Однако обращает на себя внимание очередное, хотя и небольшое, падение доли затрат на сельское хозяйство (включая рыболовство), которая составила в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лишь 1,1% расходов бюджета против 1,6% в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D7BDC">
                <w:rPr>
                  <w:color w:val="000000"/>
                </w:rPr>
                <w:t>1999 г</w:t>
              </w:r>
            </w:smartTag>
            <w:r w:rsidRPr="00DD7BDC">
              <w:rPr>
                <w:color w:val="000000"/>
              </w:rPr>
              <w:t xml:space="preserve">. и 2,4% в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DD7BDC">
                <w:rPr>
                  <w:color w:val="000000"/>
                </w:rPr>
                <w:t>1996 г</w:t>
              </w:r>
            </w:smartTag>
            <w:r w:rsidRPr="00DD7BDC">
              <w:rPr>
                <w:color w:val="000000"/>
              </w:rPr>
              <w:t xml:space="preserve">. В стратегическом отношении прогрессирующее ослабление и без того весьма скромной государственной поддержки аграрного сектора представляется серьезной ошибкой.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Слабая поддержка реального сектора, связанная в том числе и с принципиальным неприятием нынешним российским правительством (прежде всего руководством Минэкономразвития) так называемой промышленной политики, о смысле которой мы немало писали в наших предыдущих статьях в «ЭКО», остается характерной чертой системы государственных финансов РФ.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Хорошая сбалансированность госбюджета существенно облегчила правительству и Центральному банку РФ решение задач, обычно решаемых в процессе реализации денежно-кредитной политики государства.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За анализируемый период Министерство финансов РФ неоднократно проводило аукционы по размещению государственных ценных бумаг, включая ГКО, в том числе с целью стерилизации денежной массы, возраставшей в связи с пополнением золотовалютных резервов страны (их размеры увеличились с 28 млрд дол. на 1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до 37,5 млрд дол. на 1 сентября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и до 38,4 млрд дол. на 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.).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Весь объем фактически обращающихся на рынке государственных ценных бумаг с декабря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 по август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вырос лишь на 10,3%, в том числе ГКО — в 11,7 раза (в абсолютных цифрах рост ГКО был не столь пугающий — с 2,1 до 24,5 млрд руб.). Суммарный же оборот рынка по номиналу понизился за это время с 11,5 до 8,8 млрд руб. Объем государственного внутреннего долга по ГКО и ОФЗ за 8 месяцев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увеличился на 10,2% — до 204 млрд руб., но по сравнению с августом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 он уменьшился на 21,6%.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Все основные денежные агрегаты росли с 1 января по 1 августа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весьма умеренно, в том числе наиболее полный и представительный из них — М2 — всего на 16,2% против 32,1% за такой же период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., а МО (наличные деньги вне банковской системы) — на 17% против 25,3% в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Заметим, что инфляция за эти же периоды составляла соответственно 13,2% и 11,5%, т. е., как мы писали раньше, причинно-следственные связи между динамикой денежной массы и темпами инфляции — благодаря особенностям сложившейся в стране хозяйственной системы — обнаружить в России довольно сложно, а потому будет более продуктивным искать другие корни или побудительные стимулы почти не прекращающегося роста цен.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Уровень монетизации российской экономики, который, как известно, слишком низок по международным стандартам, если его измерять отношением М2 по состоянию на середину года к объему ВВП за первое полугодие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., возрос с 28,7% в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 до 32,4%.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Можно отметить и еще одно позитивное явление — рост объема предоставленных кредитными организациями заемщикам всех типов кредитов на 29,4% с января по август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(данные на начало месяца) по сравнению с 19,9% за такой же период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 При этом не следует забывать, что основная часть этих кредитов (и их прироста) приходится на долю Сбербанка РФ, в котором, как и в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., хранится 74% всех депозитов физических лиц, размещенных в кредитных организациях.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Темпы инфляции в России, несмотря на замедление темпов роста денежных агрегатов, практически не изменились, обманув ожидания правительства, и за январь—август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 составили 13,2% против 12,6% за тот же период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 При этом — в отличие от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 — рост цен производителей (оптовых цен) отставал в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от роста потребительских цен. Следовательно, в среднем воздействие увеличения издержек производств на инфляционные процессы как будто должно было ослабнуть. Однако усредненные показатели могут порою вводить в заблуждение, и если взглянуть на изменение цен производителей по отраслям, то можно заметить опережающее повышение отпускных цен (тарифов) в базовых для экономики отраслях — электроэнергетике и газовой промышленности (соответственно на 25,9 и 43,2% с начала года), которое, несомненно, подстегнуло рост цен в других отраслях и усилило инфляционные ожидания.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Высокий уровень инфляционных ожиданий, возможно, является одним из главных факторов, поддерживающих нынешний уровень инфляции в России (а он вряд ли понизится и в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D7BDC">
                <w:rPr>
                  <w:color w:val="000000"/>
                </w:rPr>
                <w:t>2002 г</w:t>
              </w:r>
            </w:smartTag>
            <w:r w:rsidRPr="00DD7BDC">
              <w:rPr>
                <w:color w:val="000000"/>
              </w:rPr>
              <w:t xml:space="preserve">.). Такие настроения подстегивают и постоянно обсуждаемые проекты различного рода реформ (жилищно-коммунального хозяйства, РАО ЕЭС и т.п.), необходимым компонентом которых фактически всегда является значительное повышение цен или тарифов. На росте цен сказывается и очень слабое развитие конкурентной среды, а также недостаточный контроль со стороны государства за деятельностью монополий.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Валютный курс рубля перестал быть инфляционным фактором. Его номинальное понижение продолжает существенно отставать от темпов инфляции, что приводит — уже третий год подряд — к повышению реального курса рубля, постепенно подрывающему ценовую конкурентоспособность отечественных производителей, особенно на внутреннем рынке. Совпадение этого процесса с сохраняющейся тенденцией к дальнейшей либерализации импортной таможенной политики еще более обостряет ситуацию.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На российском рынке, если не принимать во внимание инфляцию в самих США (2—3% в год), реальный курс рубля, измеряемый в долларах, увеличился в январе—августе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на 8% (на 13% — в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 и на 4% — в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D7BDC">
                <w:rPr>
                  <w:color w:val="000000"/>
                </w:rPr>
                <w:t>1999 г</w:t>
              </w:r>
            </w:smartTag>
            <w:r w:rsidRPr="00DD7BDC">
              <w:rPr>
                <w:color w:val="000000"/>
              </w:rPr>
              <w:t xml:space="preserve">.).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Проведенная в середине года некоторая либерализация системы валютного регулирования (разрешение физическим лицам открывать валютные счета в других странах, снижение норматива обязательной продажи экспортной выручки с 75 до 50%) пока не дала ощутимых результатов в плане воздействия на динамику валютного курса. Но на ней, видимо, со временем скажется прекращение роста экспорта и начавшееся сокращение положительного сальдо торгового баланса РФ.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В середине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паритет покупательной способности рубля (ППС) оценивался в 13 руб. за доллар. Согласно этой оценке, номинальный курс является заниженным по сравнению с ППС более чем в 2 раза. Но из этого не следует делать вывод, что рубль действительно недооценен. Обменный курс валюты (как и цена любого товара) зависит от соотношения спроса и предложения, на которые в свою очередь влияют самые различные факторы. Учитывая состояние российской экономики и примеры других стран с развивающимся рынком, нынешний обменный курс рубля вряд ли можно считать заниженным, а с точки зрения интересов развития этой экономики он, скорее, несколько завышен. </w:t>
            </w:r>
          </w:p>
          <w:p w:rsidR="00DD7BDC" w:rsidRPr="00DD7BDC" w:rsidRDefault="00DD7BDC" w:rsidP="00DD7BDC">
            <w:pPr>
              <w:spacing w:before="100" w:beforeAutospacing="1" w:after="100" w:afterAutospacing="1"/>
              <w:rPr>
                <w:color w:val="000000"/>
              </w:rPr>
            </w:pPr>
            <w:r w:rsidRPr="00DD7BDC">
              <w:rPr>
                <w:color w:val="000000"/>
              </w:rPr>
              <w:t xml:space="preserve">По той же оценке, отношение номинального курса рубля к его ППС снижается: в первом квартале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D7BDC">
                <w:rPr>
                  <w:color w:val="000000"/>
                </w:rPr>
                <w:t>2000 г</w:t>
              </w:r>
            </w:smartTag>
            <w:r w:rsidRPr="00DD7BDC">
              <w:rPr>
                <w:color w:val="000000"/>
              </w:rPr>
              <w:t xml:space="preserve">. оно составляло 2,63 раза (максимальное значение после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D7BDC">
                <w:rPr>
                  <w:color w:val="000000"/>
                </w:rPr>
                <w:t>1992 г</w:t>
              </w:r>
            </w:smartTag>
            <w:r w:rsidRPr="00DD7BDC">
              <w:rPr>
                <w:color w:val="000000"/>
              </w:rPr>
              <w:t xml:space="preserve">.), тогда как в первом квартале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D7BDC">
                <w:rPr>
                  <w:color w:val="000000"/>
                </w:rPr>
                <w:t>2001 г</w:t>
              </w:r>
            </w:smartTag>
            <w:r w:rsidRPr="00DD7BDC">
              <w:rPr>
                <w:color w:val="000000"/>
              </w:rPr>
              <w:t xml:space="preserve">. — уже 2,24 раза (самое низкое значение с третьего квартала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DD7BDC">
                <w:rPr>
                  <w:color w:val="000000"/>
                </w:rPr>
                <w:t>1998 г</w:t>
              </w:r>
            </w:smartTag>
            <w:r w:rsidRPr="00DD7BDC">
              <w:rPr>
                <w:color w:val="000000"/>
              </w:rPr>
              <w:t>.)</w:t>
            </w:r>
            <w:hyperlink r:id="rId4" w:anchor="Anchor2#Anchor2" w:history="1">
              <w:r w:rsidRPr="00DD7BDC">
                <w:rPr>
                  <w:color w:val="009900"/>
                  <w:u w:val="single"/>
                  <w:vertAlign w:val="superscript"/>
                </w:rPr>
                <w:t>2</w:t>
              </w:r>
            </w:hyperlink>
            <w:r w:rsidRPr="00DD7BDC">
              <w:rPr>
                <w:color w:val="000000"/>
              </w:rPr>
              <w:t>.</w:t>
            </w:r>
          </w:p>
          <w:p w:rsidR="00DD7BDC" w:rsidRPr="00DD7BDC" w:rsidRDefault="00E57FBE" w:rsidP="00DD7BDC">
            <w:pPr>
              <w:rPr>
                <w:color w:val="000000"/>
              </w:rPr>
            </w:pPr>
            <w:r>
              <w:rPr>
                <w:color w:val="000000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</w:tbl>
    <w:p w:rsidR="00DD7BDC" w:rsidRDefault="00DD7BDC">
      <w:bookmarkStart w:id="0" w:name="_GoBack"/>
      <w:bookmarkEnd w:id="0"/>
    </w:p>
    <w:sectPr w:rsidR="00DD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BDC"/>
    <w:rsid w:val="00162845"/>
    <w:rsid w:val="00313D26"/>
    <w:rsid w:val="00DD7BDC"/>
    <w:rsid w:val="00E5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58E7F7-3088-49D2-B2B0-A128357B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D7BDC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3">
    <w:name w:val="heading 3"/>
    <w:basedOn w:val="a"/>
    <w:qFormat/>
    <w:rsid w:val="00DD7BDC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7BDC"/>
    <w:rPr>
      <w:color w:val="009900"/>
      <w:u w:val="single"/>
    </w:rPr>
  </w:style>
  <w:style w:type="paragraph" w:styleId="a4">
    <w:name w:val="Normal (Web)"/>
    <w:basedOn w:val="a"/>
    <w:rsid w:val="00DD7BDC"/>
    <w:pPr>
      <w:spacing w:before="100" w:beforeAutospacing="1" w:after="100" w:afterAutospacing="1"/>
    </w:pPr>
    <w:rPr>
      <w:color w:val="000000"/>
    </w:rPr>
  </w:style>
  <w:style w:type="paragraph" w:styleId="HTML">
    <w:name w:val="HTML Address"/>
    <w:basedOn w:val="a"/>
    <w:rsid w:val="00DD7BD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nom.nsc.ru/eco/Arhiv/ReadStatiy/2002_01/Kurier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бюджет</vt:lpstr>
    </vt:vector>
  </TitlesOfParts>
  <Company>Microsoft</Company>
  <LinksUpToDate>false</LinksUpToDate>
  <CharactersWithSpaces>10839</CharactersWithSpaces>
  <SharedDoc>false</SharedDoc>
  <HLinks>
    <vt:vector size="6" baseType="variant">
      <vt:variant>
        <vt:i4>5832750</vt:i4>
      </vt:variant>
      <vt:variant>
        <vt:i4>0</vt:i4>
      </vt:variant>
      <vt:variant>
        <vt:i4>0</vt:i4>
      </vt:variant>
      <vt:variant>
        <vt:i4>5</vt:i4>
      </vt:variant>
      <vt:variant>
        <vt:lpwstr>http://econom.nsc.ru/eco/Arhiv/ReadStatiy/2002_01/Kurierov.htm</vt:lpwstr>
      </vt:variant>
      <vt:variant>
        <vt:lpwstr>Anchor2#Anchor2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бюджет</dc:title>
  <dc:subject/>
  <dc:creator>ашот</dc:creator>
  <cp:keywords/>
  <dc:description/>
  <cp:lastModifiedBy>admin</cp:lastModifiedBy>
  <cp:revision>2</cp:revision>
  <dcterms:created xsi:type="dcterms:W3CDTF">2014-04-06T07:46:00Z</dcterms:created>
  <dcterms:modified xsi:type="dcterms:W3CDTF">2014-04-06T07:46:00Z</dcterms:modified>
</cp:coreProperties>
</file>