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71" w:rsidRDefault="00E91971">
      <w:pPr>
        <w:pStyle w:val="21"/>
        <w:keepLines w:val="0"/>
      </w:pPr>
      <w:r>
        <w:t xml:space="preserve">ГИПОТЕНЗИВНАЯ ТЕРАПИЯ У БОЛЬНЫХ </w:t>
      </w:r>
    </w:p>
    <w:p w:rsidR="00E91971" w:rsidRDefault="00E91971">
      <w:pPr>
        <w:pStyle w:val="21"/>
        <w:keepLines w:val="0"/>
      </w:pPr>
      <w:r>
        <w:t xml:space="preserve">АРТЕРИАЛЬНОЙ ГИПЕРТОНИЕЙ </w:t>
      </w:r>
    </w:p>
    <w:p w:rsidR="00E91971" w:rsidRDefault="00E91971">
      <w:pPr>
        <w:pStyle w:val="21"/>
        <w:keepLines w:val="0"/>
      </w:pPr>
      <w:r>
        <w:t>С МЕТАБОЛИЧЕСКИМИ ФАКТОРАМИ РИСКА</w:t>
      </w:r>
    </w:p>
    <w:p w:rsidR="00E91971" w:rsidRDefault="00E91971">
      <w:pPr>
        <w:pStyle w:val="1"/>
        <w:spacing w:line="360" w:lineRule="auto"/>
        <w:rPr>
          <w:b/>
          <w:bCs/>
        </w:rPr>
      </w:pPr>
      <w:r>
        <w:rPr>
          <w:b/>
          <w:bCs/>
        </w:rPr>
        <w:t>В.С. Задионченко, С.Б. Хруленко</w:t>
      </w:r>
    </w:p>
    <w:p w:rsidR="00E91971" w:rsidRDefault="00E91971">
      <w:pPr>
        <w:keepNext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МГМСУ, кафедра внутренних болезней №5</w:t>
      </w:r>
      <w:r>
        <w:rPr>
          <w:b/>
          <w:bCs/>
          <w:sz w:val="28"/>
          <w:szCs w:val="28"/>
        </w:rPr>
        <w:t xml:space="preserve"> </w:t>
      </w:r>
    </w:p>
    <w:p w:rsidR="00E91971" w:rsidRDefault="00E91971">
      <w:pPr>
        <w:pStyle w:val="21"/>
        <w:keepLines w:val="0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i/>
          <w:iCs/>
          <w:sz w:val="24"/>
          <w:szCs w:val="24"/>
        </w:rPr>
        <w:t>Цель исследования:</w:t>
      </w:r>
      <w:r>
        <w:rPr>
          <w:b w:val="0"/>
          <w:bCs w:val="0"/>
          <w:sz w:val="24"/>
          <w:szCs w:val="24"/>
        </w:rPr>
        <w:t xml:space="preserve"> Оценка эффективности и безопасности лечения представителями основных классов гипотензивных препаратов (ингибитор АПФ – эналаприл (эднит), антагонист кальция – фелодипин (плендил), комбинированный препарат (антагонист кальция (фелодипин) + бета-блокатор (метопролол)) - логимакс) у больных мягкой и умеренной гипертонией, с наличием метаболических нарушений. </w:t>
      </w:r>
    </w:p>
    <w:p w:rsidR="00E91971" w:rsidRDefault="00E91971">
      <w:pPr>
        <w:pStyle w:val="21"/>
        <w:keepLines w:val="0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i/>
          <w:iCs/>
          <w:sz w:val="24"/>
          <w:szCs w:val="24"/>
        </w:rPr>
        <w:t xml:space="preserve">Материалы и методы: </w:t>
      </w:r>
      <w:r>
        <w:rPr>
          <w:b w:val="0"/>
          <w:bCs w:val="0"/>
          <w:sz w:val="24"/>
          <w:szCs w:val="24"/>
        </w:rPr>
        <w:t xml:space="preserve">Обследовано 75 больных мягкой и умеренной гипертонией, с наличием метаболических нарушений. В течение 2-х месяцев им проводилась монотерапия эднитом, плендилом или логимаксом. Всем пациентам дважды проведено суточное мониторирование АД, ЭХО-КГ, биохимический анализ крови, коагулограма, психологическое тестирование. </w:t>
      </w:r>
    </w:p>
    <w:p w:rsidR="00E91971" w:rsidRDefault="00E91971">
      <w:pPr>
        <w:keepNext/>
        <w:tabs>
          <w:tab w:val="center" w:pos="426"/>
        </w:tabs>
        <w:spacing w:before="120" w:line="36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Результаты:</w:t>
      </w:r>
      <w:r>
        <w:rPr>
          <w:b/>
          <w:bCs/>
          <w:i/>
          <w:iCs/>
        </w:rPr>
        <w:t xml:space="preserve"> </w:t>
      </w:r>
      <w:r>
        <w:rPr>
          <w:sz w:val="24"/>
          <w:szCs w:val="24"/>
        </w:rPr>
        <w:t>Терапия эднитом, плендилом и логимаксом привела к снижению САД и ДАД, величины и скорости утреннего подъема АД в сопоставимой степени, способствовала нормализации суточного профиля АД. У пациентов с исходно повышенной вариабельностью АД терапия благоприятно влияла на стандартное отклонение, уменьшая его. Монотерапия эднитом, плендилом практически не изменяла ЧСС, у больных, принимавших логимакс, отмечено достоверное снижение ЧСС.</w:t>
      </w:r>
    </w:p>
    <w:p w:rsidR="00E91971" w:rsidRDefault="00E91971">
      <w:pPr>
        <w:pStyle w:val="21"/>
        <w:keepLines w:val="0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Терапия эднитом, плендилом, логимаксом не усугубляла имеющиеся метаболические нарушения. Нормализация показателей диастолического расслабления и наполнения ЛЖ, у пациентов принимавших эднит, плендил, логимакс наблюдалась у 53 %, 55%, 50% соответственно. По окончанию 2-х месячной терапии улучшился суммарный показатель качества жизни. Переносимость препаратов была хорошей.</w:t>
      </w:r>
    </w:p>
    <w:p w:rsidR="00E91971" w:rsidRDefault="00E91971">
      <w:pPr>
        <w:pStyle w:val="21"/>
        <w:keepLines w:val="0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i/>
          <w:iCs/>
          <w:sz w:val="24"/>
          <w:szCs w:val="24"/>
        </w:rPr>
        <w:t xml:space="preserve">Заключение: </w:t>
      </w:r>
      <w:r>
        <w:rPr>
          <w:b w:val="0"/>
          <w:bCs w:val="0"/>
          <w:sz w:val="24"/>
          <w:szCs w:val="24"/>
        </w:rPr>
        <w:t>Полученные данные свидетельствуют о том, что эднит, плендил, логимакс возможно использовать в качестве монотерапии при лечении мягкой и умеренной гипертонии с метаболическими нарушениями.</w:t>
      </w:r>
    </w:p>
    <w:p w:rsidR="00E91971" w:rsidRDefault="00E91971">
      <w:pPr>
        <w:pStyle w:val="21"/>
        <w:keepLines w:val="0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</w:p>
    <w:p w:rsidR="00E91971" w:rsidRDefault="00E91971">
      <w:pPr>
        <w:pStyle w:val="21"/>
        <w:keepLines w:val="0"/>
        <w:spacing w:line="360" w:lineRule="auto"/>
        <w:ind w:left="1985" w:hanging="1985"/>
        <w:jc w:val="both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Ключевые слова:</w:t>
      </w:r>
      <w:r>
        <w:rPr>
          <w:b w:val="0"/>
          <w:bCs w:val="0"/>
          <w:i/>
          <w:iCs/>
          <w:sz w:val="24"/>
          <w:szCs w:val="24"/>
        </w:rPr>
        <w:t xml:space="preserve"> артериальная гипертензия, метаболические нарушения, гипотензивная терапия, суточное мониторирование АД, качество жизни.</w:t>
      </w:r>
    </w:p>
    <w:p w:rsidR="00E91971" w:rsidRDefault="00E91971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накоплено достаточно доказательств того, что сочетание у одного человека нескольких факторов риска сердечно-сосудистых заболеваний, резко увеличивает их суммарный риск.</w:t>
      </w:r>
    </w:p>
    <w:p w:rsidR="00E91971" w:rsidRDefault="00E91971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комбинаций факторов риска является впервые описанный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Reaven</w:t>
      </w:r>
      <w:r>
        <w:rPr>
          <w:sz w:val="28"/>
          <w:szCs w:val="28"/>
        </w:rPr>
        <w:t xml:space="preserve"> в 1988 г. как синдром Х. В основе этого синдрома – единая метаболическая цепь, связывающая несколько факторов риска: артериальную гипертонию (АГ), инсулинорезистентность (ИР) / гиперинсулинемию, нарушение толерантности к глюкозе, дислипидемию </w:t>
      </w:r>
      <w:r>
        <w:rPr>
          <w:sz w:val="28"/>
          <w:szCs w:val="28"/>
          <w:lang w:val="en-US"/>
        </w:rPr>
        <w:t>[1]</w:t>
      </w:r>
      <w:r>
        <w:rPr>
          <w:sz w:val="28"/>
          <w:szCs w:val="28"/>
        </w:rPr>
        <w:t xml:space="preserve">. Исходно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Reaven</w:t>
      </w:r>
      <w:r>
        <w:rPr>
          <w:sz w:val="28"/>
          <w:szCs w:val="28"/>
        </w:rPr>
        <w:t xml:space="preserve"> не включил ожирение в число компонентов синдрома Х. Однако, многие авторы, считают необходимым включение ожирения, особенно по абдоминальному типу в классический кластер симптомов синдрома Х [2]. Имеются указания на то, что инсулинорезистентность сопровождается нарушениями в системе гемостаза: в частности, замечено повышение свертываемости крови и снижение фибринолитической активности.</w:t>
      </w:r>
    </w:p>
    <w:p w:rsidR="00E91971" w:rsidRDefault="00E91971">
      <w:pPr>
        <w:pStyle w:val="31"/>
        <w:keepNext/>
        <w:spacing w:line="360" w:lineRule="auto"/>
      </w:pPr>
      <w:r>
        <w:t>Лечение АГ у больных с метаболическими нарушениями имеет свои особенности. Они связаны с необходимостью учитывать различное влияние фармакологических препаратов и их комбинаций на обменные нарушения при АГ с метаболическими расстройствами, а также, неодинаковую способность их воздействовать на важнейшие патогенетические механизмы АГ с метаболическими нарушениями.</w:t>
      </w:r>
    </w:p>
    <w:p w:rsidR="00E91971" w:rsidRDefault="00E91971">
      <w:pPr>
        <w:pStyle w:val="21"/>
        <w:keepLines w:val="0"/>
        <w:spacing w:line="360" w:lineRule="auto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В связи с этим одним из основных требований, предъявляемым к современным антигипертензивным препаратам, учитывая длительность и постоянство гипотензивной терапии, является не только качественное снижение АД на протяжении суток, но и отсутствие неблагоприятных метаболических влияний. Препараты не должны усиливать инсулинорезистентность, вызывать еще большее увеличение инсулина в крови, приводить к повышению толерантности к глюкозе, усугублять имеющуюся дислипидемию </w:t>
      </w:r>
      <w:r>
        <w:rPr>
          <w:b w:val="0"/>
          <w:bCs w:val="0"/>
          <w:lang w:val="en-US"/>
        </w:rPr>
        <w:t>[5]</w:t>
      </w:r>
      <w:r>
        <w:rPr>
          <w:b w:val="0"/>
          <w:bCs w:val="0"/>
        </w:rPr>
        <w:t>.</w:t>
      </w:r>
    </w:p>
    <w:p w:rsidR="00E91971" w:rsidRDefault="00E91971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на сегодняшний день остаются открытыми вопросы об оптимальной фармакотерапии АГ с метаболическими нарушениями, так как далеко не все гипотензивные средства являются метаболически нейтральными, о влиянии длительной терапии на качество жизни больных.</w:t>
      </w:r>
    </w:p>
    <w:p w:rsidR="00E91971" w:rsidRDefault="00E91971">
      <w:pPr>
        <w:pStyle w:val="21"/>
        <w:keepLines w:val="0"/>
        <w:spacing w:line="360" w:lineRule="auto"/>
        <w:ind w:firstLine="709"/>
        <w:jc w:val="both"/>
        <w:rPr>
          <w:b w:val="0"/>
          <w:bCs w:val="0"/>
        </w:rPr>
      </w:pPr>
      <w:r>
        <w:t>Цель исследования</w:t>
      </w:r>
      <w:r>
        <w:rPr>
          <w:b w:val="0"/>
          <w:bCs w:val="0"/>
        </w:rPr>
        <w:t xml:space="preserve">: Оценка эффективности и безопасности курсового лечения представителями основных классов гипотензивных препаратов (ингибитор АПФ – эналаприл (эднит), антагонист кальция – фелодипин (плендил), комбинированный препарат (антагонист кальция (фелодипин) + бета-блокатор (метопролол)) - логимакс) у больных мягкой и умеренной гипертонией, с наличием метаболических нарушений. </w:t>
      </w:r>
    </w:p>
    <w:p w:rsidR="00E91971" w:rsidRDefault="00E91971">
      <w:pPr>
        <w:keepNext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 и методы</w:t>
      </w:r>
    </w:p>
    <w:p w:rsidR="00E91971" w:rsidRDefault="00E91971">
      <w:pPr>
        <w:pStyle w:val="31"/>
        <w:keepNext/>
        <w:spacing w:line="360" w:lineRule="auto"/>
      </w:pPr>
      <w:r>
        <w:t xml:space="preserve">В исследование было включено 75 больных АГ с различным сочетанием метаболических факторов риска, общая характеристика которых приведена в таблицах №1 - 2. </w:t>
      </w:r>
    </w:p>
    <w:p w:rsidR="00E91971" w:rsidRDefault="00E91971">
      <w:pPr>
        <w:pStyle w:val="a3"/>
        <w:keepLines w:val="0"/>
        <w:spacing w:line="360" w:lineRule="auto"/>
        <w:ind w:firstLine="567"/>
      </w:pPr>
      <w:r>
        <w:t>Больные составили три группы: получающие гипотензивную монотерапию эднитом; фелодипином; логимаксом.</w:t>
      </w:r>
    </w:p>
    <w:p w:rsidR="00E91971" w:rsidRDefault="00E91971">
      <w:pPr>
        <w:pStyle w:val="a3"/>
        <w:keepLines w:val="0"/>
        <w:numPr>
          <w:ilvl w:val="12"/>
          <w:numId w:val="0"/>
        </w:numPr>
        <w:tabs>
          <w:tab w:val="right" w:pos="8505"/>
        </w:tabs>
        <w:spacing w:line="360" w:lineRule="auto"/>
      </w:pPr>
      <w:r>
        <w:t>Все больные получали монотерапию в течение 2-х месяцев:</w:t>
      </w:r>
    </w:p>
    <w:p w:rsidR="00E91971" w:rsidRDefault="00E91971" w:rsidP="00E91971">
      <w:pPr>
        <w:pStyle w:val="a3"/>
        <w:keepLines w:val="0"/>
        <w:numPr>
          <w:ilvl w:val="0"/>
          <w:numId w:val="4"/>
        </w:numPr>
        <w:tabs>
          <w:tab w:val="clear" w:pos="360"/>
          <w:tab w:val="num" w:pos="465"/>
          <w:tab w:val="right" w:pos="8505"/>
        </w:tabs>
        <w:spacing w:line="360" w:lineRule="auto"/>
        <w:ind w:left="465"/>
      </w:pPr>
      <w:r>
        <w:t>Эднит (эналаприл) в дозе 5 – 40 мг (в среднем 22,5 ± 11,2) 1-2 раза в сутки;</w:t>
      </w:r>
    </w:p>
    <w:p w:rsidR="00E91971" w:rsidRDefault="00E91971" w:rsidP="00E91971">
      <w:pPr>
        <w:pStyle w:val="a3"/>
        <w:keepLines w:val="0"/>
        <w:numPr>
          <w:ilvl w:val="0"/>
          <w:numId w:val="4"/>
        </w:numPr>
        <w:tabs>
          <w:tab w:val="clear" w:pos="360"/>
          <w:tab w:val="num" w:pos="465"/>
          <w:tab w:val="right" w:pos="8505"/>
        </w:tabs>
        <w:spacing w:line="360" w:lineRule="auto"/>
        <w:ind w:left="465"/>
      </w:pPr>
      <w:r>
        <w:t>Плендил (фелодипин) в дозе 5 – 10 мг (в среднем 8,8 ± 2,1) 1-2 раза в сутки;</w:t>
      </w:r>
    </w:p>
    <w:p w:rsidR="00E91971" w:rsidRDefault="00E91971" w:rsidP="00E91971">
      <w:pPr>
        <w:pStyle w:val="a3"/>
        <w:keepLines w:val="0"/>
        <w:numPr>
          <w:ilvl w:val="0"/>
          <w:numId w:val="4"/>
        </w:numPr>
        <w:tabs>
          <w:tab w:val="clear" w:pos="360"/>
          <w:tab w:val="num" w:pos="465"/>
          <w:tab w:val="right" w:pos="8505"/>
        </w:tabs>
        <w:spacing w:line="360" w:lineRule="auto"/>
        <w:ind w:left="465"/>
      </w:pPr>
      <w:r>
        <w:t>Логимакс (фелодипин/метопролол) в дозе 5 – 10 / 50 –100 мг (в среднем 7,0 / 70,0 ± 2,4 / 24,5) 1 раз в сутки.</w:t>
      </w:r>
    </w:p>
    <w:p w:rsidR="00E91971" w:rsidRDefault="00E91971">
      <w:pPr>
        <w:pStyle w:val="a3"/>
        <w:keepLines w:val="0"/>
        <w:tabs>
          <w:tab w:val="right" w:pos="8505"/>
        </w:tabs>
        <w:spacing w:line="360" w:lineRule="auto"/>
        <w:ind w:firstLine="426"/>
      </w:pPr>
      <w:r>
        <w:t>Дозу подбирали индивидуально в зависимости от эффекта. Препарат назначали после 2-х недельного «отмывочного периода».</w:t>
      </w:r>
    </w:p>
    <w:p w:rsidR="00E91971" w:rsidRDefault="00E91971">
      <w:pPr>
        <w:pStyle w:val="31"/>
        <w:keepNext/>
        <w:numPr>
          <w:ilvl w:val="12"/>
          <w:numId w:val="0"/>
        </w:numPr>
        <w:tabs>
          <w:tab w:val="right" w:pos="8505"/>
        </w:tabs>
        <w:spacing w:line="360" w:lineRule="auto"/>
        <w:ind w:firstLine="720"/>
      </w:pPr>
      <w:r>
        <w:t>Критериями эффективности служила динамика ДАД:</w:t>
      </w:r>
    </w:p>
    <w:p w:rsidR="00E91971" w:rsidRDefault="00E91971" w:rsidP="00E91971">
      <w:pPr>
        <w:keepNext/>
        <w:numPr>
          <w:ilvl w:val="0"/>
          <w:numId w:val="3"/>
        </w:numPr>
        <w:tabs>
          <w:tab w:val="righ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эффект – в покое уровень ДАД 90 мм рт. ст. и менее;</w:t>
      </w:r>
    </w:p>
    <w:p w:rsidR="00E91971" w:rsidRDefault="00E91971" w:rsidP="00E91971">
      <w:pPr>
        <w:keepNext/>
        <w:numPr>
          <w:ilvl w:val="0"/>
          <w:numId w:val="3"/>
        </w:numPr>
        <w:tabs>
          <w:tab w:val="righ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Частичный эффект – снижение ДАД более, чем на 10% от исходного (при ДАД </w:t>
      </w:r>
      <w:r>
        <w:rPr>
          <w:sz w:val="28"/>
          <w:szCs w:val="28"/>
        </w:rPr>
        <w:sym w:font="Symbol" w:char="F03E"/>
      </w:r>
      <w:r>
        <w:rPr>
          <w:sz w:val="28"/>
          <w:szCs w:val="28"/>
        </w:rPr>
        <w:t xml:space="preserve"> 90 мм рт. ст.);</w:t>
      </w:r>
    </w:p>
    <w:p w:rsidR="00E91971" w:rsidRDefault="00E91971" w:rsidP="00E91971">
      <w:pPr>
        <w:keepNext/>
        <w:numPr>
          <w:ilvl w:val="0"/>
          <w:numId w:val="3"/>
        </w:numPr>
        <w:tabs>
          <w:tab w:val="righ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Недостаточный – ДАД не достигло уровня 90 мм рт. ст. и снизилось менее 10% от исходного.</w:t>
      </w:r>
    </w:p>
    <w:p w:rsidR="00E91971" w:rsidRDefault="00E91971">
      <w:pPr>
        <w:pStyle w:val="31"/>
        <w:keepNext/>
        <w:numPr>
          <w:ilvl w:val="12"/>
          <w:numId w:val="0"/>
        </w:numPr>
        <w:tabs>
          <w:tab w:val="right" w:pos="8505"/>
        </w:tabs>
        <w:spacing w:line="360" w:lineRule="auto"/>
        <w:ind w:firstLine="720"/>
      </w:pPr>
      <w:r>
        <w:t>Изучался суточный профиль АД (СПАД), центральная гемодинамика (по показателям Эхо-КГ), психологический статус и качество жизни пациентов.</w:t>
      </w:r>
    </w:p>
    <w:p w:rsidR="00E91971" w:rsidRDefault="00E91971">
      <w:pPr>
        <w:keepNext/>
        <w:numPr>
          <w:ilvl w:val="12"/>
          <w:numId w:val="0"/>
        </w:numPr>
        <w:tabs>
          <w:tab w:val="right" w:pos="8505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</w:t>
      </w:r>
    </w:p>
    <w:p w:rsidR="00E91971" w:rsidRDefault="00E91971">
      <w:pPr>
        <w:pStyle w:val="31"/>
        <w:keepNext/>
        <w:tabs>
          <w:tab w:val="center" w:pos="3828"/>
        </w:tabs>
        <w:spacing w:before="120" w:line="360" w:lineRule="auto"/>
      </w:pPr>
      <w:r>
        <w:t xml:space="preserve">Через два месяца непрерывного лечения полный эффект у больных, принимавших эднит, плендил и логимакс был достигнут в 67,7%, 66,4%, 73,2% случаев соответственно, не достаточным оказался эффект в 9,7%, 8,4%, 6,7% случаев соответственно. Отмечено достоверное снижение САД и ДАД как в ночное время, так и в период бодрствования (табл. №3). </w:t>
      </w:r>
    </w:p>
    <w:p w:rsidR="00E91971" w:rsidRDefault="00E91971">
      <w:pPr>
        <w:pStyle w:val="31"/>
        <w:keepNext/>
        <w:tabs>
          <w:tab w:val="center" w:pos="3828"/>
        </w:tabs>
        <w:spacing w:before="120" w:line="360" w:lineRule="auto"/>
      </w:pPr>
      <w:r>
        <w:t xml:space="preserve">Нами оценена динамика типов суточных кривых АД по данным 24-часового мониторирования, отдельно для систолического и диастолического АД. Лечение оказывало благоприятное влияние на типы суточных кривых при их определении по степени ночного снижения диастолического и систолического АД. Через 2 месяца лечения процент </w:t>
      </w:r>
      <w:r>
        <w:rPr>
          <w:lang w:val="en-US"/>
        </w:rPr>
        <w:t>dippers</w:t>
      </w:r>
      <w:r>
        <w:t xml:space="preserve"> увеличивался, а процент </w:t>
      </w:r>
      <w:r>
        <w:rPr>
          <w:lang w:val="en-US"/>
        </w:rPr>
        <w:t>over</w:t>
      </w:r>
      <w:r>
        <w:t>-</w:t>
      </w:r>
      <w:r>
        <w:rPr>
          <w:lang w:val="en-US"/>
        </w:rPr>
        <w:t>dippers</w:t>
      </w:r>
      <w:r>
        <w:t xml:space="preserve">, </w:t>
      </w:r>
      <w:r>
        <w:rPr>
          <w:lang w:val="en-US"/>
        </w:rPr>
        <w:t>non</w:t>
      </w:r>
      <w:r>
        <w:t>-</w:t>
      </w:r>
      <w:r>
        <w:rPr>
          <w:lang w:val="en-US"/>
        </w:rPr>
        <w:t>dippers</w:t>
      </w:r>
      <w:r>
        <w:t xml:space="preserve"> и  </w:t>
      </w:r>
      <w:r>
        <w:rPr>
          <w:lang w:val="en-US"/>
        </w:rPr>
        <w:t>night</w:t>
      </w:r>
      <w:r>
        <w:t>-</w:t>
      </w:r>
      <w:r>
        <w:rPr>
          <w:lang w:val="en-US"/>
        </w:rPr>
        <w:t>peakers</w:t>
      </w:r>
      <w:r>
        <w:t xml:space="preserve"> уменьшался (табл. № 4 - 5). </w:t>
      </w:r>
    </w:p>
    <w:p w:rsidR="00E91971" w:rsidRDefault="00E91971">
      <w:pPr>
        <w:pStyle w:val="31"/>
        <w:keepNext/>
        <w:tabs>
          <w:tab w:val="center" w:pos="3828"/>
        </w:tabs>
        <w:spacing w:before="120" w:line="360" w:lineRule="auto"/>
      </w:pPr>
      <w:r>
        <w:t>Обращает на себя внимание неодинаковая динамика показателей вариабельности АД (ВАД). Так у больных с исходно нормальной ВАД она существенно не изменилась, а у больных с высокой ВАД происходило достоверное снижение вариабельности как систолического, так и диастолического АД. Что сопровождается уменьшением риска поражения органов – мишеней (табл. № 6).</w:t>
      </w:r>
    </w:p>
    <w:p w:rsidR="00E91971" w:rsidRDefault="00E91971">
      <w:pPr>
        <w:pStyle w:val="31"/>
        <w:keepNext/>
        <w:tabs>
          <w:tab w:val="center" w:pos="3828"/>
        </w:tabs>
        <w:spacing w:before="120" w:line="360" w:lineRule="auto"/>
      </w:pPr>
      <w:r>
        <w:t>При анализе суточных кривых АД можно отметить резкий рост АД в ранние утренние часы (с 4 до 10 часов), и именно в это время регистрируется наибольшее количество инфарктов миокарда и инсультов. Таким образом, снижение величины и скорости утреннего подъема (С УП) АД можно расценивать как снижение степени риска кардиоваскулярных осложнений. На фоне терапии мы отметили достоверное снижение величины и С УП АД. Так величина УП САД снизилась на 46% в группе эднита, на 54% в группе плендила и на 78% в группе логимакса, величина УП ДАД на 43%, 51%, 70% соответственно. Скорость УП САД (ДАД) уменьшилась на 71% (63%), 63% (58%), 79% (71%) в группах эднита, плендила и логимакса соответственно.</w:t>
      </w:r>
    </w:p>
    <w:p w:rsidR="00E91971" w:rsidRDefault="00E91971">
      <w:pPr>
        <w:pStyle w:val="31"/>
        <w:keepNext/>
        <w:tabs>
          <w:tab w:val="center" w:pos="3828"/>
        </w:tabs>
        <w:spacing w:before="120" w:line="360" w:lineRule="auto"/>
      </w:pPr>
      <w:r>
        <w:t>Достоверно уменьшилась перегрузка давлением (индекс времени и индекс площади) как в дневное, так и в ночное время.</w:t>
      </w:r>
    </w:p>
    <w:p w:rsidR="00E91971" w:rsidRDefault="00E91971">
      <w:pPr>
        <w:pStyle w:val="a3"/>
        <w:keepLines w:val="0"/>
        <w:spacing w:line="360" w:lineRule="auto"/>
        <w:ind w:firstLine="720"/>
      </w:pPr>
      <w:r>
        <w:t xml:space="preserve">Существенных изменений показателей углеводного, липидного, пуринового обмена, коагулологических показателей (АЧТВ, уровня протромбина, фибриногена, вязкости крови) под влиянием терапии не наблюдалось. </w:t>
      </w:r>
    </w:p>
    <w:p w:rsidR="00E91971" w:rsidRDefault="00E91971">
      <w:pPr>
        <w:pStyle w:val="a3"/>
        <w:keepLines w:val="0"/>
        <w:spacing w:line="360" w:lineRule="auto"/>
        <w:ind w:firstLine="720"/>
      </w:pPr>
      <w:r>
        <w:t>Таким образом, терапия ни эднитом, ни плендилом, ни логимаксом не усугубляет имеющиеся метаболические нарушения.</w:t>
      </w:r>
    </w:p>
    <w:p w:rsidR="00E91971" w:rsidRDefault="00E91971">
      <w:pPr>
        <w:keepNext/>
        <w:tabs>
          <w:tab w:val="center" w:pos="3828"/>
        </w:tabs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Отрицательной динамики ЭКГ не зарегистрировано.</w:t>
      </w:r>
    </w:p>
    <w:p w:rsidR="00E91971" w:rsidRDefault="00E91971">
      <w:pPr>
        <w:pStyle w:val="31"/>
        <w:keepNext/>
        <w:tabs>
          <w:tab w:val="center" w:pos="3828"/>
        </w:tabs>
        <w:spacing w:before="120" w:line="360" w:lineRule="auto"/>
      </w:pPr>
      <w:r>
        <w:t>Под влиянием терапии эднитом и фелодипином существенных изменений ЧСС не произошло. Отмечено снижение ЧСС в дневное время на 11% (</w:t>
      </w:r>
      <w:r>
        <w:rPr>
          <w:lang w:val="en-US"/>
        </w:rPr>
        <w:t>p</w:t>
      </w:r>
      <w:r>
        <w:t xml:space="preserve"> &lt; 0,05), среднесуточной на 10% (</w:t>
      </w:r>
      <w:r>
        <w:rPr>
          <w:lang w:val="en-US"/>
        </w:rPr>
        <w:t>p</w:t>
      </w:r>
      <w:r>
        <w:t xml:space="preserve"> &lt; 0,05) под влиянием терапии логимаксом.</w:t>
      </w:r>
    </w:p>
    <w:p w:rsidR="00E91971" w:rsidRDefault="00E91971">
      <w:pPr>
        <w:pStyle w:val="21"/>
        <w:keepLines w:val="0"/>
        <w:spacing w:line="360" w:lineRule="auto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На фоне лечения у пациентов отмечена динамика показателей, отражающих морфофункциональное состояние сердца (табл.7). </w:t>
      </w:r>
    </w:p>
    <w:p w:rsidR="00E91971" w:rsidRDefault="00E91971">
      <w:pPr>
        <w:pStyle w:val="21"/>
        <w:keepLines w:val="0"/>
        <w:spacing w:line="360" w:lineRule="auto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Исходное нарушение диастолической функции ЛЖ зарегистрировано у 74 % пациентов. Изменения трансмитрального кровотока касались как активного, так и пассивного кровотока. </w:t>
      </w:r>
    </w:p>
    <w:p w:rsidR="00E91971" w:rsidRDefault="00E91971">
      <w:pPr>
        <w:pStyle w:val="21"/>
        <w:keepLines w:val="0"/>
        <w:spacing w:line="360" w:lineRule="auto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Нормализация показателей диастолического расслабления и наполнения ЛЖ, у пациентов принимавших эднит, плендил, логимакс наблюдалась у 53 %, 55%, 50% соответственно. </w:t>
      </w:r>
    </w:p>
    <w:p w:rsidR="00E91971" w:rsidRDefault="00E91971">
      <w:pPr>
        <w:pStyle w:val="a3"/>
        <w:keepLines w:val="0"/>
        <w:tabs>
          <w:tab w:val="left" w:pos="851"/>
          <w:tab w:val="center" w:pos="3828"/>
        </w:tabs>
        <w:spacing w:before="120" w:line="360" w:lineRule="auto"/>
        <w:ind w:firstLine="720"/>
      </w:pPr>
      <w:r>
        <w:t xml:space="preserve">Нами оценивался психологический статус и качество жизни пациентов в процессе лечения по следующим анкетам: </w:t>
      </w:r>
      <w:r>
        <w:rPr>
          <w:lang w:val="en-US"/>
        </w:rPr>
        <w:t>MMPI</w:t>
      </w:r>
      <w:r>
        <w:t>, теста Люшера, личностная шкала тревоги, уровень субъективного контроля, опросник САН (самочувствие, активность, настроение), шкала депрессии, опросник «Качество жизни у больных гипертонической болезнью».</w:t>
      </w:r>
    </w:p>
    <w:p w:rsidR="00E91971" w:rsidRDefault="00E91971">
      <w:pPr>
        <w:pStyle w:val="a3"/>
        <w:keepLines w:val="0"/>
        <w:spacing w:line="360" w:lineRule="auto"/>
        <w:ind w:firstLine="720"/>
      </w:pPr>
      <w:r>
        <w:t xml:space="preserve">Наиболее значимо улучшение общего благополучия, физического состояния: уменьшились головные боли, головокружения, утомляемость, улучшилась работоспособность. Реже стало возникать чувство тревоги, депрессии. Однако не произошло достоверных изменений качества памяти. У мужчин, проходивших курс лечения фелодипином, отмечено снижение проблем в сексуальной сфере     (р </w:t>
      </w:r>
      <w:r>
        <w:sym w:font="Symbol" w:char="F03C"/>
      </w:r>
      <w:r>
        <w:t xml:space="preserve"> 0,05). В процессе лечения выявлено достоверное улучшение самочувствия пациентов, тенденция к улучшению активности и настроения. </w:t>
      </w:r>
    </w:p>
    <w:p w:rsidR="00E91971" w:rsidRDefault="00E91971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после 2-х месячной терапии эднитом, плендилом, логимаксом достоверно улучшился суммарный показатель качества жизни на 18%, 14% и 20% соответственно.</w:t>
      </w:r>
    </w:p>
    <w:p w:rsidR="00E91971" w:rsidRDefault="00E91971">
      <w:pPr>
        <w:pStyle w:val="a3"/>
        <w:keepLines w:val="0"/>
        <w:spacing w:line="360" w:lineRule="auto"/>
        <w:ind w:firstLine="720"/>
      </w:pPr>
      <w:r>
        <w:t>При динамическом наблюдении в процессе лечения имеет место тенденция к увеличению индекса здоровья, что говорит о повышении ответственности больного за свое здоровье и понимании, что улучшение самочувствия во многом зависит от его действий (дисциплинированности, правильности выполнения предписаний врача).</w:t>
      </w:r>
    </w:p>
    <w:p w:rsidR="00E91971" w:rsidRDefault="00E91971">
      <w:pPr>
        <w:pStyle w:val="a3"/>
        <w:keepLines w:val="0"/>
        <w:tabs>
          <w:tab w:val="left" w:pos="709"/>
        </w:tabs>
        <w:spacing w:line="360" w:lineRule="auto"/>
        <w:ind w:firstLine="709"/>
      </w:pPr>
      <w:r>
        <w:t>Патологических отклонений в общих и биохимических анализах крови и мочи при контрольных исследованиях не отмечено.</w:t>
      </w:r>
    </w:p>
    <w:p w:rsidR="00E91971" w:rsidRDefault="00E91971">
      <w:pPr>
        <w:pStyle w:val="a3"/>
        <w:keepLines w:val="0"/>
        <w:tabs>
          <w:tab w:val="left" w:pos="709"/>
        </w:tabs>
        <w:spacing w:line="360" w:lineRule="auto"/>
        <w:ind w:firstLine="709"/>
      </w:pPr>
      <w:r>
        <w:t>На фоне лечения эднитом в 11,2% (4 человека) случаев отмечены побочные реакции (головокружение, крапивница, мышечная слабость и сухой кашель), из них в 8,4% (3 пациента) – отмена препарата. При терапии плендилом зарегистрированы не желательные реакции в 16% (4 человека) случаев (пастозность лодыжек, головная боль, гиперемия лица и синусовая тахикардия), отмена препарата - 4%. У 2-х больных (13,3%) выявлены побочные реакции при лечении логимаксом (пастозность лодыжек и гиперемия лица).</w:t>
      </w:r>
    </w:p>
    <w:p w:rsidR="00E91971" w:rsidRDefault="00E91971">
      <w:pPr>
        <w:pStyle w:val="a5"/>
      </w:pPr>
      <w:r>
        <w:t>Обсуждение</w:t>
      </w:r>
    </w:p>
    <w:p w:rsidR="00E91971" w:rsidRDefault="00E91971">
      <w:pPr>
        <w:pStyle w:val="31"/>
        <w:keepNext/>
        <w:spacing w:line="360" w:lineRule="auto"/>
      </w:pPr>
      <w:r>
        <w:t xml:space="preserve">Цель антигипертензивной терапии – оптимальное снижение АД, предупреждение поражения органов-мишений, снижение риска сердечно-сосудистых осложнений и улучшение качества жизни пациентов. </w:t>
      </w:r>
    </w:p>
    <w:p w:rsidR="00E91971" w:rsidRDefault="00E91971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во всем мире принята «</w:t>
      </w:r>
      <w:r>
        <w:rPr>
          <w:sz w:val="28"/>
          <w:szCs w:val="28"/>
          <w:lang w:val="en-US"/>
        </w:rPr>
        <w:t>evidence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based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medicine</w:t>
      </w:r>
      <w:r>
        <w:rPr>
          <w:sz w:val="28"/>
          <w:szCs w:val="28"/>
        </w:rPr>
        <w:t>», т. е. медицина, которая позволяет использовать в широкой практике только средства, эффективность и безопасность которых продемонстрированы в длительных сравнительных рандомизированных исследованиях.</w:t>
      </w:r>
    </w:p>
    <w:p w:rsidR="00E91971" w:rsidRDefault="00E91971">
      <w:pPr>
        <w:pStyle w:val="31"/>
        <w:keepNext/>
        <w:tabs>
          <w:tab w:val="left" w:pos="426"/>
          <w:tab w:val="left" w:pos="851"/>
          <w:tab w:val="center" w:pos="3828"/>
        </w:tabs>
        <w:spacing w:before="120" w:line="360" w:lineRule="auto"/>
        <w:ind w:firstLine="709"/>
      </w:pPr>
      <w:r>
        <w:t xml:space="preserve">При анализе данных эпидемиологических и клинических исследований установлено, что лечение артериальной гипертонии приводит к ожидаемому снижению частоты риска сердечно-сосудистых осложнений. </w:t>
      </w:r>
    </w:p>
    <w:p w:rsidR="00E91971" w:rsidRDefault="00E91971">
      <w:pPr>
        <w:pStyle w:val="31"/>
        <w:keepNext/>
        <w:tabs>
          <w:tab w:val="left" w:pos="426"/>
          <w:tab w:val="left" w:pos="851"/>
          <w:tab w:val="center" w:pos="3828"/>
        </w:tabs>
        <w:spacing w:before="120" w:line="360" w:lineRule="auto"/>
        <w:ind w:firstLine="709"/>
      </w:pPr>
      <w:r>
        <w:t xml:space="preserve">Большой интерес представляют результаты исследования </w:t>
      </w:r>
      <w:r>
        <w:rPr>
          <w:lang w:val="en-US"/>
        </w:rPr>
        <w:t>FACET</w:t>
      </w:r>
      <w:r>
        <w:t xml:space="preserve">, в котором сравнивались эффекты ингибитора АПФ (фозиноприла) и антагониста кальция (амлодипина) у 400 больных АГ и сахарным диабетом </w:t>
      </w:r>
      <w:r>
        <w:rPr>
          <w:lang w:val="en-US"/>
        </w:rPr>
        <w:t>II</w:t>
      </w:r>
      <w:r>
        <w:t xml:space="preserve"> типа. Исследование показало, что по сравнению с антагонистом кальция ингибитор АПФ снижает риск развития инсульта на 61 %, острого инфаркта миокарда на 23%. </w:t>
      </w:r>
    </w:p>
    <w:p w:rsidR="00E91971" w:rsidRDefault="00E91971">
      <w:pPr>
        <w:pStyle w:val="31"/>
        <w:keepNext/>
        <w:tabs>
          <w:tab w:val="left" w:pos="426"/>
          <w:tab w:val="left" w:pos="851"/>
          <w:tab w:val="center" w:pos="3828"/>
        </w:tabs>
        <w:spacing w:before="120" w:line="360" w:lineRule="auto"/>
        <w:ind w:firstLine="709"/>
      </w:pPr>
      <w:r>
        <w:t xml:space="preserve">В </w:t>
      </w:r>
      <w:r>
        <w:rPr>
          <w:lang w:val="en-US"/>
        </w:rPr>
        <w:t>ABCD</w:t>
      </w:r>
      <w:r>
        <w:t xml:space="preserve"> </w:t>
      </w:r>
      <w:r>
        <w:rPr>
          <w:lang w:val="en-US"/>
        </w:rPr>
        <w:t>Trial</w:t>
      </w:r>
      <w:r>
        <w:t xml:space="preserve"> произведена сравнительная оценка эналаприла (5 – 40 мг/сут) и нисолдипина (10 – 60 мг/сут) и показано, что наряду со сравнительно одинаковым снижением АД, по сравнению с нисолдипином эналаприл достоверно снижал частоту фатальных и нефатальных инфарктов миокарда.</w:t>
      </w:r>
    </w:p>
    <w:p w:rsidR="00E91971" w:rsidRDefault="00E91971">
      <w:pPr>
        <w:pStyle w:val="31"/>
        <w:keepNext/>
        <w:tabs>
          <w:tab w:val="left" w:pos="426"/>
          <w:tab w:val="left" w:pos="851"/>
          <w:tab w:val="center" w:pos="3828"/>
        </w:tabs>
        <w:spacing w:before="120" w:line="360" w:lineRule="auto"/>
        <w:ind w:firstLine="709"/>
      </w:pPr>
      <w:r>
        <w:t>В настоящее время по-прежнему часто употребляются диуретики и бета-блокаторы.</w:t>
      </w:r>
    </w:p>
    <w:p w:rsidR="00E91971" w:rsidRDefault="00E91971">
      <w:pPr>
        <w:pStyle w:val="31"/>
        <w:keepNext/>
        <w:spacing w:line="360" w:lineRule="auto"/>
      </w:pPr>
      <w:r>
        <w:t xml:space="preserve">Ни диуретики, ни бета-блокаторы при диабете не противопоказаны (согласно рекомендации Комитета экспертов ВОЗ, 1996г.). Только при их применении следует внимательно следить за уровнем сахара в крови и поддерживать его на желаемом уровне с помощью специфических лекарственных средств и диеты. </w:t>
      </w:r>
    </w:p>
    <w:p w:rsidR="00E91971" w:rsidRDefault="00E91971">
      <w:pPr>
        <w:pStyle w:val="21"/>
        <w:keepLines w:val="0"/>
        <w:spacing w:line="360" w:lineRule="auto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Основные результаты исследования НОТ демонстрируют положительные эффекты применения дигидропиридинового антагониста кальция продолжительного действия – фелодипина. В целом, частота сердечно-сосудистых заболеваний во время лечения была гораздо ниже, чем в предыдущих проспективных исследованиях. Особенно благоприятный эффект имело лечение у больных СД.</w:t>
      </w:r>
    </w:p>
    <w:p w:rsidR="00E91971" w:rsidRDefault="00E91971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исследования </w:t>
      </w:r>
      <w:r>
        <w:rPr>
          <w:sz w:val="28"/>
          <w:szCs w:val="28"/>
          <w:lang w:val="en-US"/>
        </w:rPr>
        <w:t>TOMHS</w:t>
      </w:r>
      <w:r>
        <w:rPr>
          <w:sz w:val="28"/>
          <w:szCs w:val="28"/>
        </w:rPr>
        <w:t xml:space="preserve"> – было оценить эффекты применения представителей 5 основных групп лекарственных препаратов, используемых для лечения гипертонии (бета-блокатора, антагониста кальция, диуретика, альфа-блокатора и ингибитора АПФ). Значимое уменьшение гипертрофии миокарда (10 – 15%), снижение АД произошло во всех группах. Отмечено снижение ХС-ЛПНП от 3,6 мг/дл (хлорталидон) до 11,7 мг/дл (ацебутолол) и повышение ХС-ЛПВП от 0,2 мг/дл (ацебутолол) до 2,6 мг/дл (эналаприл).</w:t>
      </w:r>
    </w:p>
    <w:p w:rsidR="00E91971" w:rsidRDefault="00E91971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целом имеющиеся сегодня данные не позволяют четко судить о наличии истинных различий влияния препаратов разных классов на риск сердечно – сосудистых осложнений и смертности у больных АГ с метаболическими факторами риска.</w:t>
      </w:r>
    </w:p>
    <w:p w:rsidR="00E91971" w:rsidRDefault="00E91971">
      <w:pPr>
        <w:keepNext/>
        <w:tabs>
          <w:tab w:val="left" w:pos="426"/>
          <w:tab w:val="left" w:pos="851"/>
          <w:tab w:val="center" w:pos="3828"/>
        </w:tabs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влияния на суточный ритм АД антигипертензивный препарат должен отвечать следующим требованиям: отсутствие влияния на нормальный двухфазный ритм АД и улучшение нарушенного суточного профиля, желательно снижение повышенной вариабельности АД, обеспечение его контроля в ранние утренние часы [6]. </w:t>
      </w:r>
    </w:p>
    <w:p w:rsidR="00E91971" w:rsidRDefault="00E91971">
      <w:pPr>
        <w:keepNext/>
        <w:tabs>
          <w:tab w:val="left" w:pos="426"/>
          <w:tab w:val="left" w:pos="851"/>
          <w:tab w:val="center" w:pos="3828"/>
        </w:tabs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Мы применяли у наших больных ингибитор АПФ, антагонист кальция, комбинацию антагониста кальция и бета-блокатора и, по данным СМАД, наблюдали благоприятную динамику вышеперечисленных показателей во всех 3-х группах.</w:t>
      </w:r>
    </w:p>
    <w:p w:rsidR="00E91971" w:rsidRDefault="00E91971">
      <w:pPr>
        <w:keepNext/>
        <w:tabs>
          <w:tab w:val="left" w:pos="426"/>
          <w:tab w:val="left" w:pos="851"/>
          <w:tab w:val="center" w:pos="3828"/>
        </w:tabs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Полный курс контролируемого лечения препаратами удалось завершить у 71 (94,7%) из 75 пациентов, начавших лечение, 4 (5,3%) больных из исследования вследствие развития различных побочных реакций (из них 3 человека – на фоне терапии эднитом и один больной – плендилом).</w:t>
      </w:r>
    </w:p>
    <w:p w:rsidR="00E91971" w:rsidRDefault="00E91971">
      <w:pPr>
        <w:keepNext/>
        <w:tabs>
          <w:tab w:val="left" w:pos="426"/>
          <w:tab w:val="left" w:pos="851"/>
          <w:tab w:val="center" w:pos="3828"/>
        </w:tabs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лечения отмечено статистически достоверное снижение САД и ДАД. Так, в группе эднита САД снизилось на 14,5%, плендила на 15,9%, в группе логимакса – на 12,6%, ДАД на 13,6%, 11,3% и 12,5% соответственно.</w:t>
      </w:r>
    </w:p>
    <w:p w:rsidR="00E91971" w:rsidRDefault="00E91971">
      <w:pPr>
        <w:pStyle w:val="a3"/>
        <w:keepLines w:val="0"/>
        <w:spacing w:line="360" w:lineRule="auto"/>
        <w:ind w:firstLine="720"/>
      </w:pPr>
      <w:r>
        <w:t>Кардиопротективный эффект препаратов, связан, вероятно, не только со снижением АД и уменьшением перегрузки давлением, уменьшением вариабельности АД, но и с улучшением диастолической функции левого желудочка. В нашем исследовании нормализация диастолической функции левого желудочка наблюдалась у половины больных, лечившихся различными группами препаратов.</w:t>
      </w:r>
    </w:p>
    <w:p w:rsidR="00E91971" w:rsidRDefault="00E91971">
      <w:pPr>
        <w:keepNext/>
        <w:tabs>
          <w:tab w:val="center" w:pos="284"/>
        </w:tabs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нашем исследовании на фоне улучшения соматического состояния выявлено достоверное повышение качества жизни, улучшение самочувствия больных. Отмечена тенденция к снижению уровня личностной тревоги, депрессии, повышение ответственности за свое здоровье.</w:t>
      </w:r>
    </w:p>
    <w:p w:rsidR="00E91971" w:rsidRDefault="00E91971">
      <w:pPr>
        <w:keepNext/>
        <w:tabs>
          <w:tab w:val="left" w:pos="426"/>
          <w:tab w:val="left" w:pos="851"/>
          <w:tab w:val="center" w:pos="3828"/>
        </w:tabs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E91971" w:rsidRDefault="00E91971" w:rsidP="00E91971">
      <w:pPr>
        <w:keepNext/>
        <w:numPr>
          <w:ilvl w:val="0"/>
          <w:numId w:val="1"/>
        </w:numPr>
        <w:tabs>
          <w:tab w:val="clear" w:pos="1891"/>
          <w:tab w:val="num" w:pos="142"/>
          <w:tab w:val="center" w:pos="426"/>
        </w:tabs>
        <w:spacing w:before="120" w:line="360" w:lineRule="auto"/>
        <w:ind w:lef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Терапия эднитом, плендилом и логимаксом снижает САД и ДАД, величину и скорость утреннего подъема АД в сопоставимой степени, способствует нормализации суточного профиля АД.</w:t>
      </w:r>
    </w:p>
    <w:p w:rsidR="00E91971" w:rsidRDefault="00E91971" w:rsidP="00E91971">
      <w:pPr>
        <w:keepNext/>
        <w:numPr>
          <w:ilvl w:val="0"/>
          <w:numId w:val="1"/>
        </w:numPr>
        <w:tabs>
          <w:tab w:val="clear" w:pos="1891"/>
          <w:tab w:val="num" w:pos="142"/>
          <w:tab w:val="center" w:pos="426"/>
        </w:tabs>
        <w:spacing w:before="120" w:line="360" w:lineRule="auto"/>
        <w:ind w:lef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пациентов с исходно повышенной вариабельностью АД лечение благоприятно влияло на стандартное отклонение, уменьшая его. Монотерапия эднитом, плендилом практически не изменяла ЧСС, у больных, принимавших логимакс, отмечено достоверное снижение ЧСС.</w:t>
      </w:r>
    </w:p>
    <w:p w:rsidR="00E91971" w:rsidRDefault="00E91971" w:rsidP="00E91971">
      <w:pPr>
        <w:keepNext/>
        <w:numPr>
          <w:ilvl w:val="0"/>
          <w:numId w:val="1"/>
        </w:numPr>
        <w:tabs>
          <w:tab w:val="clear" w:pos="1891"/>
          <w:tab w:val="num" w:pos="142"/>
          <w:tab w:val="center" w:pos="284"/>
        </w:tabs>
        <w:spacing w:before="12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 достоверно улучшает диастолическую функцию левого желудочка. Нормализация показателей диастолического расслабления и наполнения ЛЖ, у пациентов принимавших эднит, плендил, логимакс наблюдалась у 53 %, 55%, 50% соответственно. </w:t>
      </w:r>
    </w:p>
    <w:p w:rsidR="00E91971" w:rsidRDefault="00E91971" w:rsidP="00E91971">
      <w:pPr>
        <w:keepNext/>
        <w:numPr>
          <w:ilvl w:val="0"/>
          <w:numId w:val="1"/>
        </w:numPr>
        <w:tabs>
          <w:tab w:val="clear" w:pos="1891"/>
          <w:tab w:val="num" w:pos="142"/>
          <w:tab w:val="center" w:pos="284"/>
        </w:tabs>
        <w:spacing w:before="12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Препараты не оказывают отрицательного влияния на липидный, углеводный обмены, коагулологические свойства крови и другие биохимические показатели.</w:t>
      </w:r>
    </w:p>
    <w:p w:rsidR="00E91971" w:rsidRDefault="00E91971" w:rsidP="00E91971">
      <w:pPr>
        <w:keepNext/>
        <w:numPr>
          <w:ilvl w:val="0"/>
          <w:numId w:val="1"/>
        </w:numPr>
        <w:tabs>
          <w:tab w:val="clear" w:pos="1891"/>
          <w:tab w:val="num" w:pos="142"/>
          <w:tab w:val="center" w:pos="284"/>
        </w:tabs>
        <w:spacing w:before="120" w:line="360" w:lineRule="auto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Терапия приводит к повышению качества жизни, улучшению самочувствия больных, повышению ответственности за свое здоровье, тенденции к снижению уровня личностной тревоги, депрессии.</w:t>
      </w:r>
    </w:p>
    <w:p w:rsidR="00E91971" w:rsidRDefault="00E91971" w:rsidP="00E91971">
      <w:pPr>
        <w:keepNext/>
        <w:numPr>
          <w:ilvl w:val="0"/>
          <w:numId w:val="1"/>
        </w:numPr>
        <w:tabs>
          <w:tab w:val="clear" w:pos="1891"/>
          <w:tab w:val="num" w:pos="-142"/>
          <w:tab w:val="center" w:pos="284"/>
        </w:tabs>
        <w:spacing w:before="12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Препараты хорошо переносится больными. </w:t>
      </w:r>
    </w:p>
    <w:p w:rsidR="00E91971" w:rsidRDefault="00E91971">
      <w:pPr>
        <w:keepNext/>
        <w:tabs>
          <w:tab w:val="center" w:pos="284"/>
        </w:tabs>
        <w:spacing w:before="120" w:line="360" w:lineRule="auto"/>
        <w:jc w:val="both"/>
        <w:rPr>
          <w:sz w:val="28"/>
          <w:szCs w:val="28"/>
        </w:rPr>
      </w:pPr>
    </w:p>
    <w:p w:rsidR="00E91971" w:rsidRDefault="00E91971">
      <w:pPr>
        <w:keepNext/>
        <w:tabs>
          <w:tab w:val="center" w:pos="284"/>
        </w:tabs>
        <w:spacing w:before="12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Литература:</w:t>
      </w:r>
    </w:p>
    <w:p w:rsidR="00E91971" w:rsidRDefault="00E91971" w:rsidP="00E91971">
      <w:pPr>
        <w:numPr>
          <w:ilvl w:val="0"/>
          <w:numId w:val="2"/>
        </w:numPr>
        <w:tabs>
          <w:tab w:val="left" w:pos="284"/>
          <w:tab w:val="left" w:pos="426"/>
          <w:tab w:val="center" w:pos="709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Reaven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GV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Role of insulin resistance in human disease. // Diabetes. – 1988. – Vol. 37. – P.1595-607.</w:t>
      </w:r>
    </w:p>
    <w:p w:rsidR="00E91971" w:rsidRDefault="00E91971" w:rsidP="00E91971">
      <w:pPr>
        <w:keepNext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Моисеев В.С.  Метаболические аспекты гипертонической болезни. - Тер. архив. – 1997. - № 69. – С. 16.</w:t>
      </w:r>
    </w:p>
    <w:p w:rsidR="00E91971" w:rsidRDefault="00E91971" w:rsidP="00E91971">
      <w:pPr>
        <w:keepNext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Соколов Е.И. СД и атеросклероз. М., Медицина, 1996. – 404с</w:t>
      </w:r>
    </w:p>
    <w:p w:rsidR="00E91971" w:rsidRDefault="00E91971" w:rsidP="00E9197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Мамедов М.Н., Петрова Н.В., Метельская В.А. и др. Компоненты метаболического синдрома у больных артериальной гипертензией.-  Кардиология. – 1997. - №12. – С.37 – 42.</w:t>
      </w:r>
    </w:p>
    <w:p w:rsidR="00E91971" w:rsidRDefault="00E91971" w:rsidP="00E91971">
      <w:pPr>
        <w:keepNext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Арабидзе Г.Г. Фармакотерапия артериальной гипертензии. - Тер. архив.- 1997.-  №8. - С.80 - 86.</w:t>
      </w:r>
    </w:p>
    <w:p w:rsidR="00E91971" w:rsidRDefault="00E91971" w:rsidP="00E91971">
      <w:pPr>
        <w:keepNext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Алмазов В.А. Длительная медикаментозная терапия больных мягкой артериальной гипертонией (результаты 5-летнего наблюдения). - Тер. архив. – 1992. - № 9. – С. 94 - 97.</w:t>
      </w:r>
    </w:p>
    <w:p w:rsidR="00E91971" w:rsidRDefault="00E91971">
      <w:pPr>
        <w:keepNext/>
        <w:jc w:val="both"/>
        <w:rPr>
          <w:sz w:val="24"/>
          <w:szCs w:val="24"/>
        </w:rPr>
      </w:pPr>
    </w:p>
    <w:p w:rsidR="00E91971" w:rsidRDefault="00E91971">
      <w:pPr>
        <w:pStyle w:val="21"/>
        <w:keepLines w:val="0"/>
        <w:tabs>
          <w:tab w:val="center" w:pos="1985"/>
        </w:tabs>
        <w:spacing w:before="120" w:line="360" w:lineRule="auto"/>
        <w:ind w:firstLine="720"/>
        <w:jc w:val="both"/>
        <w:rPr>
          <w:u w:val="single"/>
        </w:rPr>
      </w:pPr>
      <w:r>
        <w:rPr>
          <w:u w:val="single"/>
        </w:rPr>
        <w:t xml:space="preserve">Авторы: </w:t>
      </w:r>
    </w:p>
    <w:p w:rsidR="00E91971" w:rsidRDefault="00E91971">
      <w:pPr>
        <w:pStyle w:val="21"/>
        <w:keepLines w:val="0"/>
        <w:tabs>
          <w:tab w:val="center" w:pos="1985"/>
        </w:tabs>
        <w:spacing w:before="120" w:line="360" w:lineRule="auto"/>
        <w:ind w:firstLine="720"/>
        <w:jc w:val="both"/>
      </w:pPr>
      <w:r>
        <w:t>Хруленко Светлана Борисовна, тел. 456 – 42 - 84.</w:t>
      </w:r>
    </w:p>
    <w:p w:rsidR="00E91971" w:rsidRDefault="00E91971">
      <w:pPr>
        <w:pStyle w:val="21"/>
        <w:keepLines w:val="0"/>
        <w:tabs>
          <w:tab w:val="center" w:pos="1985"/>
        </w:tabs>
        <w:spacing w:before="120" w:line="360" w:lineRule="auto"/>
        <w:ind w:firstLine="720"/>
        <w:jc w:val="both"/>
      </w:pPr>
      <w:r>
        <w:t>профессор, д. м. н. В. С. Задионченко</w:t>
      </w:r>
    </w:p>
    <w:p w:rsidR="00E91971" w:rsidRDefault="00E91971">
      <w:pPr>
        <w:keepNext/>
        <w:jc w:val="both"/>
        <w:rPr>
          <w:b/>
          <w:bCs/>
          <w:sz w:val="24"/>
          <w:szCs w:val="24"/>
        </w:rPr>
      </w:pPr>
    </w:p>
    <w:p w:rsidR="00E91971" w:rsidRDefault="00E91971">
      <w:pPr>
        <w:pStyle w:val="21"/>
        <w:pageBreakBefore/>
        <w:numPr>
          <w:ilvl w:val="12"/>
          <w:numId w:val="0"/>
        </w:numPr>
        <w:spacing w:line="360" w:lineRule="auto"/>
        <w:jc w:val="right"/>
      </w:pPr>
      <w:r>
        <w:t xml:space="preserve">Таблица № 1. </w:t>
      </w:r>
    </w:p>
    <w:p w:rsidR="00E91971" w:rsidRDefault="00E91971">
      <w:pPr>
        <w:pStyle w:val="21"/>
        <w:numPr>
          <w:ilvl w:val="12"/>
          <w:numId w:val="0"/>
        </w:numPr>
        <w:spacing w:line="360" w:lineRule="auto"/>
      </w:pPr>
      <w:r>
        <w:t>Факторы риска (в%), сопутствующие артериальной гипертонии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323"/>
        <w:gridCol w:w="1323"/>
        <w:gridCol w:w="1465"/>
      </w:tblGrid>
      <w:tr w:rsidR="00E91971" w:rsidRPr="00E91971">
        <w:trPr>
          <w:cantSplit/>
          <w:trHeight w:val="616"/>
        </w:trPr>
        <w:tc>
          <w:tcPr>
            <w:tcW w:w="4644" w:type="dxa"/>
          </w:tcPr>
          <w:p w:rsidR="00E91971" w:rsidRPr="00E91971" w:rsidRDefault="00E91971">
            <w:pPr>
              <w:pStyle w:val="5"/>
              <w:tabs>
                <w:tab w:val="left" w:pos="1418"/>
              </w:tabs>
            </w:pPr>
            <w:r w:rsidRPr="00E91971">
              <w:t>Факторы риска</w:t>
            </w:r>
          </w:p>
        </w:tc>
        <w:tc>
          <w:tcPr>
            <w:tcW w:w="1323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Эднит</w:t>
            </w:r>
          </w:p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  <w:lang w:val="en-US"/>
              </w:rPr>
              <w:t>N</w:t>
            </w:r>
            <w:r w:rsidRPr="00E91971">
              <w:rPr>
                <w:sz w:val="28"/>
                <w:szCs w:val="28"/>
              </w:rPr>
              <w:t>=35</w:t>
            </w:r>
          </w:p>
        </w:tc>
        <w:tc>
          <w:tcPr>
            <w:tcW w:w="1323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Плендил</w:t>
            </w:r>
          </w:p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  <w:lang w:val="en-US"/>
              </w:rPr>
              <w:t>N</w:t>
            </w:r>
            <w:r w:rsidRPr="00E91971">
              <w:rPr>
                <w:sz w:val="28"/>
                <w:szCs w:val="28"/>
              </w:rPr>
              <w:t>=25</w:t>
            </w:r>
          </w:p>
        </w:tc>
        <w:tc>
          <w:tcPr>
            <w:tcW w:w="1465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Логимакс</w:t>
            </w:r>
          </w:p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  <w:lang w:val="en-US"/>
              </w:rPr>
              <w:t>N</w:t>
            </w:r>
            <w:r w:rsidRPr="00E91971">
              <w:rPr>
                <w:sz w:val="28"/>
                <w:szCs w:val="28"/>
              </w:rPr>
              <w:t>=15</w:t>
            </w:r>
          </w:p>
        </w:tc>
      </w:tr>
      <w:tr w:rsidR="00E91971" w:rsidRPr="00E91971">
        <w:trPr>
          <w:cantSplit/>
          <w:trHeight w:val="320"/>
        </w:trPr>
        <w:tc>
          <w:tcPr>
            <w:tcW w:w="4644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Дислипидемия</w:t>
            </w:r>
          </w:p>
        </w:tc>
        <w:tc>
          <w:tcPr>
            <w:tcW w:w="1323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80</w:t>
            </w:r>
          </w:p>
        </w:tc>
        <w:tc>
          <w:tcPr>
            <w:tcW w:w="1323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88</w:t>
            </w:r>
          </w:p>
        </w:tc>
        <w:tc>
          <w:tcPr>
            <w:tcW w:w="1465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87</w:t>
            </w:r>
          </w:p>
        </w:tc>
      </w:tr>
      <w:tr w:rsidR="00E91971" w:rsidRPr="00E91971">
        <w:trPr>
          <w:cantSplit/>
          <w:trHeight w:val="320"/>
        </w:trPr>
        <w:tc>
          <w:tcPr>
            <w:tcW w:w="4644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Ожирение</w:t>
            </w:r>
          </w:p>
        </w:tc>
        <w:tc>
          <w:tcPr>
            <w:tcW w:w="1323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74</w:t>
            </w:r>
          </w:p>
        </w:tc>
        <w:tc>
          <w:tcPr>
            <w:tcW w:w="1323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84</w:t>
            </w:r>
          </w:p>
        </w:tc>
        <w:tc>
          <w:tcPr>
            <w:tcW w:w="1465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66</w:t>
            </w:r>
          </w:p>
        </w:tc>
      </w:tr>
      <w:tr w:rsidR="00E91971" w:rsidRPr="00E91971">
        <w:trPr>
          <w:cantSplit/>
          <w:trHeight w:val="320"/>
        </w:trPr>
        <w:tc>
          <w:tcPr>
            <w:tcW w:w="4644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Курение</w:t>
            </w:r>
          </w:p>
        </w:tc>
        <w:tc>
          <w:tcPr>
            <w:tcW w:w="1323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26</w:t>
            </w:r>
          </w:p>
        </w:tc>
        <w:tc>
          <w:tcPr>
            <w:tcW w:w="1323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20</w:t>
            </w:r>
          </w:p>
        </w:tc>
        <w:tc>
          <w:tcPr>
            <w:tcW w:w="1465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33</w:t>
            </w:r>
          </w:p>
        </w:tc>
      </w:tr>
      <w:tr w:rsidR="00E91971" w:rsidRPr="00E91971">
        <w:trPr>
          <w:cantSplit/>
          <w:trHeight w:val="320"/>
        </w:trPr>
        <w:tc>
          <w:tcPr>
            <w:tcW w:w="4644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Отягощенная наследственность</w:t>
            </w:r>
          </w:p>
        </w:tc>
        <w:tc>
          <w:tcPr>
            <w:tcW w:w="1323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63</w:t>
            </w:r>
          </w:p>
        </w:tc>
        <w:tc>
          <w:tcPr>
            <w:tcW w:w="1323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68</w:t>
            </w:r>
          </w:p>
        </w:tc>
        <w:tc>
          <w:tcPr>
            <w:tcW w:w="1465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87</w:t>
            </w:r>
          </w:p>
        </w:tc>
      </w:tr>
      <w:tr w:rsidR="00E91971" w:rsidRPr="00E91971">
        <w:trPr>
          <w:cantSplit/>
          <w:trHeight w:val="320"/>
        </w:trPr>
        <w:tc>
          <w:tcPr>
            <w:tcW w:w="4644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Менопауза</w:t>
            </w:r>
          </w:p>
        </w:tc>
        <w:tc>
          <w:tcPr>
            <w:tcW w:w="1323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76</w:t>
            </w:r>
          </w:p>
        </w:tc>
        <w:tc>
          <w:tcPr>
            <w:tcW w:w="1323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64</w:t>
            </w:r>
          </w:p>
        </w:tc>
        <w:tc>
          <w:tcPr>
            <w:tcW w:w="1465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80</w:t>
            </w:r>
          </w:p>
        </w:tc>
      </w:tr>
      <w:tr w:rsidR="00E91971" w:rsidRPr="00E91971">
        <w:trPr>
          <w:cantSplit/>
          <w:trHeight w:val="320"/>
        </w:trPr>
        <w:tc>
          <w:tcPr>
            <w:tcW w:w="4644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Повышенный уровень фибриногена</w:t>
            </w:r>
          </w:p>
        </w:tc>
        <w:tc>
          <w:tcPr>
            <w:tcW w:w="1323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60</w:t>
            </w:r>
          </w:p>
        </w:tc>
        <w:tc>
          <w:tcPr>
            <w:tcW w:w="1323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68</w:t>
            </w:r>
          </w:p>
        </w:tc>
        <w:tc>
          <w:tcPr>
            <w:tcW w:w="1465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66</w:t>
            </w:r>
          </w:p>
        </w:tc>
      </w:tr>
      <w:tr w:rsidR="00E91971" w:rsidRPr="00E91971">
        <w:trPr>
          <w:cantSplit/>
          <w:trHeight w:val="320"/>
        </w:trPr>
        <w:tc>
          <w:tcPr>
            <w:tcW w:w="4644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Гиперурекимия</w:t>
            </w:r>
          </w:p>
        </w:tc>
        <w:tc>
          <w:tcPr>
            <w:tcW w:w="1323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23</w:t>
            </w:r>
          </w:p>
        </w:tc>
        <w:tc>
          <w:tcPr>
            <w:tcW w:w="1323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64</w:t>
            </w:r>
          </w:p>
        </w:tc>
        <w:tc>
          <w:tcPr>
            <w:tcW w:w="1465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13</w:t>
            </w:r>
          </w:p>
        </w:tc>
      </w:tr>
      <w:tr w:rsidR="00E91971" w:rsidRPr="00E91971">
        <w:trPr>
          <w:cantSplit/>
          <w:trHeight w:val="320"/>
        </w:trPr>
        <w:tc>
          <w:tcPr>
            <w:tcW w:w="4644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ИНСД или НТГ</w:t>
            </w:r>
          </w:p>
        </w:tc>
        <w:tc>
          <w:tcPr>
            <w:tcW w:w="1323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49</w:t>
            </w:r>
          </w:p>
        </w:tc>
        <w:tc>
          <w:tcPr>
            <w:tcW w:w="1323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44</w:t>
            </w:r>
          </w:p>
        </w:tc>
        <w:tc>
          <w:tcPr>
            <w:tcW w:w="1465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13</w:t>
            </w:r>
          </w:p>
        </w:tc>
      </w:tr>
      <w:tr w:rsidR="00E91971" w:rsidRPr="00E91971">
        <w:trPr>
          <w:cantSplit/>
          <w:trHeight w:val="320"/>
        </w:trPr>
        <w:tc>
          <w:tcPr>
            <w:tcW w:w="4644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Гипертрофия ЛЖ</w:t>
            </w:r>
          </w:p>
        </w:tc>
        <w:tc>
          <w:tcPr>
            <w:tcW w:w="1323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63</w:t>
            </w:r>
          </w:p>
        </w:tc>
        <w:tc>
          <w:tcPr>
            <w:tcW w:w="1323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56</w:t>
            </w:r>
          </w:p>
        </w:tc>
        <w:tc>
          <w:tcPr>
            <w:tcW w:w="1465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45</w:t>
            </w:r>
          </w:p>
        </w:tc>
      </w:tr>
    </w:tbl>
    <w:p w:rsidR="00E91971" w:rsidRDefault="00E91971">
      <w:pPr>
        <w:pStyle w:val="a3"/>
        <w:keepLines w:val="0"/>
        <w:numPr>
          <w:ilvl w:val="12"/>
          <w:numId w:val="0"/>
        </w:numPr>
        <w:tabs>
          <w:tab w:val="right" w:pos="8505"/>
        </w:tabs>
        <w:spacing w:line="360" w:lineRule="auto"/>
        <w:jc w:val="right"/>
        <w:rPr>
          <w:b/>
          <w:bCs/>
        </w:rPr>
      </w:pPr>
    </w:p>
    <w:p w:rsidR="00E91971" w:rsidRDefault="00E91971">
      <w:pPr>
        <w:pStyle w:val="a3"/>
        <w:keepLines w:val="0"/>
        <w:numPr>
          <w:ilvl w:val="12"/>
          <w:numId w:val="0"/>
        </w:numPr>
        <w:tabs>
          <w:tab w:val="right" w:pos="8505"/>
        </w:tabs>
        <w:spacing w:line="360" w:lineRule="auto"/>
        <w:jc w:val="right"/>
        <w:rPr>
          <w:b/>
          <w:bCs/>
        </w:rPr>
      </w:pPr>
      <w:r>
        <w:rPr>
          <w:b/>
          <w:bCs/>
        </w:rPr>
        <w:t>Таблица №2.</w:t>
      </w:r>
    </w:p>
    <w:p w:rsidR="00E91971" w:rsidRDefault="00E91971">
      <w:pPr>
        <w:pStyle w:val="a3"/>
        <w:keepLines w:val="0"/>
        <w:numPr>
          <w:ilvl w:val="12"/>
          <w:numId w:val="0"/>
        </w:numPr>
        <w:tabs>
          <w:tab w:val="right" w:pos="8505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Клиническо-демографическая  характеристика больных</w:t>
      </w: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90"/>
        <w:gridCol w:w="1890"/>
        <w:gridCol w:w="1890"/>
      </w:tblGrid>
      <w:tr w:rsidR="00E91971" w:rsidRPr="00E91971">
        <w:trPr>
          <w:cantSplit/>
          <w:trHeight w:val="650"/>
        </w:trPr>
        <w:tc>
          <w:tcPr>
            <w:tcW w:w="3119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Параметры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Эднит</w:t>
            </w:r>
          </w:p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  <w:lang w:val="en-US"/>
              </w:rPr>
              <w:t>N</w:t>
            </w:r>
            <w:r w:rsidRPr="00E91971">
              <w:rPr>
                <w:sz w:val="28"/>
                <w:szCs w:val="28"/>
              </w:rPr>
              <w:t>=35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Плендил</w:t>
            </w:r>
          </w:p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  <w:lang w:val="en-US"/>
              </w:rPr>
              <w:t>N</w:t>
            </w:r>
            <w:r w:rsidRPr="00E91971">
              <w:rPr>
                <w:sz w:val="28"/>
                <w:szCs w:val="28"/>
              </w:rPr>
              <w:t>=25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Логимакс</w:t>
            </w:r>
          </w:p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  <w:lang w:val="en-US"/>
              </w:rPr>
              <w:t>N</w:t>
            </w:r>
            <w:r w:rsidRPr="00E91971">
              <w:rPr>
                <w:sz w:val="28"/>
                <w:szCs w:val="28"/>
              </w:rPr>
              <w:t>=15</w:t>
            </w:r>
          </w:p>
        </w:tc>
      </w:tr>
      <w:tr w:rsidR="00E91971" w:rsidRPr="00E91971">
        <w:trPr>
          <w:cantSplit/>
          <w:trHeight w:val="472"/>
        </w:trPr>
        <w:tc>
          <w:tcPr>
            <w:tcW w:w="3119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Возраст, годы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spacing w:line="240" w:lineRule="atLeast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58,5 ± 1,5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spacing w:line="240" w:lineRule="atLeast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57,3 ± 2,4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spacing w:line="240" w:lineRule="atLeast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56,7 ± 2,7</w:t>
            </w:r>
          </w:p>
        </w:tc>
      </w:tr>
      <w:tr w:rsidR="00E91971" w:rsidRPr="00E91971">
        <w:trPr>
          <w:cantSplit/>
          <w:trHeight w:val="379"/>
        </w:trPr>
        <w:tc>
          <w:tcPr>
            <w:tcW w:w="3119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 xml:space="preserve">ИМТ, </w:t>
            </w:r>
            <w:r w:rsidRPr="00E91971">
              <w:rPr>
                <w:position w:val="-6"/>
                <w:sz w:val="28"/>
                <w:szCs w:val="28"/>
              </w:rPr>
              <w:object w:dxaOrig="76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23.25pt" o:ole="" fillcolor="window">
                  <v:imagedata r:id="rId5" o:title=""/>
                </v:shape>
                <o:OLEObject Type="Embed" ProgID="Equation.3" ShapeID="_x0000_i1025" DrawAspect="Content" ObjectID="_1469733559" r:id="rId6"/>
              </w:objec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spacing w:line="240" w:lineRule="atLeast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29,9 ± 0,9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spacing w:line="240" w:lineRule="atLeast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31,2 ± 1,2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spacing w:line="240" w:lineRule="atLeast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29,8 ± 1,0</w:t>
            </w:r>
          </w:p>
        </w:tc>
      </w:tr>
      <w:tr w:rsidR="00E91971" w:rsidRPr="00E91971">
        <w:trPr>
          <w:cantSplit/>
          <w:trHeight w:val="369"/>
        </w:trPr>
        <w:tc>
          <w:tcPr>
            <w:tcW w:w="3119" w:type="dxa"/>
          </w:tcPr>
          <w:p w:rsidR="00E91971" w:rsidRPr="00E91971" w:rsidRDefault="00E91971">
            <w:pPr>
              <w:pStyle w:val="1"/>
              <w:tabs>
                <w:tab w:val="left" w:pos="1418"/>
                <w:tab w:val="left" w:pos="2268"/>
                <w:tab w:val="left" w:pos="14430"/>
              </w:tabs>
              <w:ind w:left="34"/>
              <w:jc w:val="left"/>
            </w:pPr>
            <w:r w:rsidRPr="00E91971">
              <w:t>САДср., мм рт ст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146,4 ± 1,6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146,3 ± 2,4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140,2 ± 1,7</w:t>
            </w:r>
          </w:p>
        </w:tc>
      </w:tr>
      <w:tr w:rsidR="00E91971" w:rsidRPr="00E91971">
        <w:trPr>
          <w:cantSplit/>
          <w:trHeight w:val="369"/>
        </w:trPr>
        <w:tc>
          <w:tcPr>
            <w:tcW w:w="3119" w:type="dxa"/>
          </w:tcPr>
          <w:p w:rsidR="00E91971" w:rsidRPr="00E91971" w:rsidRDefault="00E91971">
            <w:pPr>
              <w:pStyle w:val="2"/>
              <w:tabs>
                <w:tab w:val="left" w:pos="1418"/>
                <w:tab w:val="left" w:pos="2268"/>
                <w:tab w:val="left" w:pos="14430"/>
              </w:tabs>
              <w:spacing w:line="240" w:lineRule="auto"/>
              <w:ind w:firstLine="0"/>
              <w:jc w:val="left"/>
            </w:pPr>
            <w:r w:rsidRPr="00E91971">
              <w:t>ДАДср., мм. рт. ст.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88,6 ± 1,5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88,1 ± 1,9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86,8 ± 1,3</w:t>
            </w:r>
          </w:p>
        </w:tc>
      </w:tr>
      <w:tr w:rsidR="00E91971" w:rsidRPr="00E91971">
        <w:trPr>
          <w:cantSplit/>
          <w:trHeight w:val="369"/>
        </w:trPr>
        <w:tc>
          <w:tcPr>
            <w:tcW w:w="3119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ЧСС, ударов в минуту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69,3 ± 1,5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69,7 ± 1,3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71,2 ± 2,7</w:t>
            </w:r>
          </w:p>
        </w:tc>
      </w:tr>
      <w:tr w:rsidR="00E91971" w:rsidRPr="00E91971">
        <w:trPr>
          <w:cantSplit/>
          <w:trHeight w:val="369"/>
        </w:trPr>
        <w:tc>
          <w:tcPr>
            <w:tcW w:w="3119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Г, ммоль/л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6,1 ± 0,5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5,7 ± 0,3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5,8 ± 0,3</w:t>
            </w:r>
          </w:p>
        </w:tc>
      </w:tr>
      <w:tr w:rsidR="00E91971" w:rsidRPr="00E91971">
        <w:trPr>
          <w:cantSplit/>
          <w:trHeight w:val="369"/>
        </w:trPr>
        <w:tc>
          <w:tcPr>
            <w:tcW w:w="3119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ОХС, ммоль/л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6,7 ± 0,3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6,8 ± 0,3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6,1 ± 0,3</w:t>
            </w:r>
          </w:p>
        </w:tc>
      </w:tr>
      <w:tr w:rsidR="00E91971" w:rsidRPr="00E91971">
        <w:trPr>
          <w:cantSplit/>
          <w:trHeight w:val="369"/>
        </w:trPr>
        <w:tc>
          <w:tcPr>
            <w:tcW w:w="3119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ТГ, ммоль/л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2,1 ± 0,6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2,3 ± 0,2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1,6 ± 0,1</w:t>
            </w:r>
          </w:p>
        </w:tc>
      </w:tr>
      <w:tr w:rsidR="00E91971" w:rsidRPr="00E91971">
        <w:trPr>
          <w:cantSplit/>
          <w:trHeight w:val="369"/>
        </w:trPr>
        <w:tc>
          <w:tcPr>
            <w:tcW w:w="3119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ЛПНП, ммоль/л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4,1 ± 0,2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4,2 ± 0,2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4,1 ± 0,2</w:t>
            </w:r>
          </w:p>
        </w:tc>
      </w:tr>
      <w:tr w:rsidR="00E91971" w:rsidRPr="00E91971">
        <w:trPr>
          <w:cantSplit/>
          <w:trHeight w:val="370"/>
        </w:trPr>
        <w:tc>
          <w:tcPr>
            <w:tcW w:w="3119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ЛПВП, ммоль/л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1,13 ± 0,04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1,08 ± 0,04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1,21 ± 0,09</w:t>
            </w:r>
          </w:p>
        </w:tc>
      </w:tr>
      <w:tr w:rsidR="00E91971" w:rsidRPr="00E91971">
        <w:trPr>
          <w:cantSplit/>
        </w:trPr>
        <w:tc>
          <w:tcPr>
            <w:tcW w:w="3119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jc w:val="both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 xml:space="preserve">Холестериновый индекс </w:t>
            </w:r>
          </w:p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jc w:val="both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атерогенности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3,8 ± 0,2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4,0 ± 0,2</w:t>
            </w:r>
          </w:p>
        </w:tc>
        <w:tc>
          <w:tcPr>
            <w:tcW w:w="1890" w:type="dxa"/>
          </w:tcPr>
          <w:p w:rsidR="00E91971" w:rsidRPr="00E91971" w:rsidRDefault="00E91971">
            <w:pPr>
              <w:keepNext/>
              <w:tabs>
                <w:tab w:val="left" w:pos="1418"/>
                <w:tab w:val="left" w:pos="2268"/>
                <w:tab w:val="left" w:pos="14430"/>
              </w:tabs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3,5 ± 0,2</w:t>
            </w:r>
          </w:p>
        </w:tc>
      </w:tr>
    </w:tbl>
    <w:p w:rsidR="00E91971" w:rsidRDefault="00E91971">
      <w:pPr>
        <w:keepNext/>
        <w:jc w:val="both"/>
        <w:rPr>
          <w:sz w:val="28"/>
          <w:szCs w:val="28"/>
        </w:rPr>
      </w:pPr>
    </w:p>
    <w:p w:rsidR="00E91971" w:rsidRDefault="00E91971">
      <w:pPr>
        <w:pStyle w:val="a3"/>
        <w:keepLines w:val="0"/>
        <w:spacing w:line="360" w:lineRule="auto"/>
        <w:jc w:val="right"/>
        <w:rPr>
          <w:b/>
          <w:bCs/>
        </w:rPr>
      </w:pPr>
    </w:p>
    <w:p w:rsidR="00E91971" w:rsidRDefault="00E91971">
      <w:pPr>
        <w:pStyle w:val="a3"/>
        <w:keepLines w:val="0"/>
        <w:spacing w:line="360" w:lineRule="auto"/>
        <w:jc w:val="right"/>
        <w:rPr>
          <w:b/>
          <w:bCs/>
        </w:rPr>
      </w:pPr>
    </w:p>
    <w:p w:rsidR="00E91971" w:rsidRDefault="00E91971">
      <w:pPr>
        <w:pStyle w:val="a3"/>
        <w:keepLines w:val="0"/>
        <w:spacing w:line="360" w:lineRule="auto"/>
        <w:jc w:val="right"/>
        <w:rPr>
          <w:b/>
          <w:bCs/>
        </w:rPr>
      </w:pPr>
    </w:p>
    <w:p w:rsidR="00E91971" w:rsidRDefault="00E91971">
      <w:pPr>
        <w:pStyle w:val="a3"/>
        <w:keepLines w:val="0"/>
        <w:spacing w:line="360" w:lineRule="auto"/>
        <w:jc w:val="right"/>
        <w:rPr>
          <w:b/>
          <w:bCs/>
        </w:rPr>
      </w:pPr>
    </w:p>
    <w:p w:rsidR="00E91971" w:rsidRDefault="00E91971">
      <w:pPr>
        <w:pStyle w:val="a3"/>
        <w:keepLines w:val="0"/>
        <w:spacing w:line="360" w:lineRule="auto"/>
        <w:jc w:val="right"/>
        <w:rPr>
          <w:b/>
          <w:bCs/>
        </w:rPr>
      </w:pPr>
    </w:p>
    <w:p w:rsidR="00E91971" w:rsidRDefault="00E91971">
      <w:pPr>
        <w:pStyle w:val="a3"/>
        <w:keepLines w:val="0"/>
        <w:spacing w:line="360" w:lineRule="auto"/>
        <w:jc w:val="right"/>
        <w:rPr>
          <w:b/>
          <w:bCs/>
        </w:rPr>
      </w:pPr>
      <w:r>
        <w:rPr>
          <w:b/>
          <w:bCs/>
        </w:rPr>
        <w:t>Таблица №3.</w:t>
      </w:r>
    </w:p>
    <w:p w:rsidR="00E91971" w:rsidRDefault="00E91971">
      <w:pPr>
        <w:pStyle w:val="a3"/>
        <w:keepLines w:val="0"/>
        <w:spacing w:line="360" w:lineRule="auto"/>
        <w:jc w:val="center"/>
        <w:rPr>
          <w:b/>
          <w:bCs/>
        </w:rPr>
      </w:pPr>
      <w:r>
        <w:rPr>
          <w:b/>
          <w:bCs/>
        </w:rPr>
        <w:t>Динамика средних показателей АД на фоне терапии у больных АГ с метаболическими нарушениями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032"/>
        <w:gridCol w:w="2032"/>
        <w:gridCol w:w="2032"/>
      </w:tblGrid>
      <w:tr w:rsidR="00E91971" w:rsidRPr="00E91971">
        <w:trPr>
          <w:cantSplit/>
          <w:trHeight w:val="650"/>
        </w:trPr>
        <w:tc>
          <w:tcPr>
            <w:tcW w:w="2376" w:type="dxa"/>
          </w:tcPr>
          <w:p w:rsidR="00E91971" w:rsidRPr="00E91971" w:rsidRDefault="00817BBD">
            <w:pPr>
              <w:keepNext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z-index:251657728;mso-wrap-edited:f" from="-3.45pt,2.9pt" to="111.75pt,31.7pt" wrapcoords="-140 0 -140 568 21039 21600 21740 21600 21881 21032 561 0 -140 0" o:allowincell="f"/>
              </w:pict>
            </w:r>
            <w:r w:rsidR="00E91971" w:rsidRPr="00E91971">
              <w:rPr>
                <w:sz w:val="28"/>
                <w:szCs w:val="28"/>
              </w:rPr>
              <w:t xml:space="preserve">             Препарат</w:t>
            </w:r>
          </w:p>
          <w:p w:rsidR="00E91971" w:rsidRPr="00E91971" w:rsidRDefault="00E91971">
            <w:pPr>
              <w:keepNext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Показатель</w:t>
            </w:r>
          </w:p>
        </w:tc>
        <w:tc>
          <w:tcPr>
            <w:tcW w:w="2032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Эднит</w:t>
            </w:r>
          </w:p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  <w:lang w:val="en-US"/>
              </w:rPr>
              <w:t>N</w:t>
            </w:r>
            <w:r w:rsidRPr="00E91971">
              <w:rPr>
                <w:sz w:val="28"/>
                <w:szCs w:val="28"/>
              </w:rPr>
              <w:t>=35</w:t>
            </w:r>
          </w:p>
        </w:tc>
        <w:tc>
          <w:tcPr>
            <w:tcW w:w="2032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Плендил</w:t>
            </w:r>
          </w:p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  <w:lang w:val="en-US"/>
              </w:rPr>
              <w:t>N</w:t>
            </w:r>
            <w:r w:rsidRPr="00E91971">
              <w:rPr>
                <w:sz w:val="28"/>
                <w:szCs w:val="28"/>
              </w:rPr>
              <w:t>=25</w:t>
            </w:r>
          </w:p>
        </w:tc>
        <w:tc>
          <w:tcPr>
            <w:tcW w:w="2032" w:type="dxa"/>
          </w:tcPr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Логимакс</w:t>
            </w:r>
          </w:p>
          <w:p w:rsidR="00E91971" w:rsidRPr="00E91971" w:rsidRDefault="00E91971">
            <w:pPr>
              <w:keepNext/>
              <w:tabs>
                <w:tab w:val="left" w:pos="1418"/>
              </w:tabs>
              <w:ind w:firstLine="34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  <w:lang w:val="en-US"/>
              </w:rPr>
              <w:t>N</w:t>
            </w:r>
            <w:r w:rsidRPr="00E91971">
              <w:rPr>
                <w:sz w:val="28"/>
                <w:szCs w:val="28"/>
              </w:rPr>
              <w:t>=15</w:t>
            </w:r>
          </w:p>
        </w:tc>
      </w:tr>
      <w:tr w:rsidR="00E91971" w:rsidRPr="00E91971">
        <w:trPr>
          <w:cantSplit/>
        </w:trPr>
        <w:tc>
          <w:tcPr>
            <w:tcW w:w="2376" w:type="dxa"/>
          </w:tcPr>
          <w:p w:rsidR="00E91971" w:rsidRPr="00E91971" w:rsidRDefault="00E91971">
            <w:pPr>
              <w:keepNext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САДср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-14,5***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-15,9***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-12,6***</w:t>
            </w:r>
          </w:p>
        </w:tc>
      </w:tr>
      <w:tr w:rsidR="00E91971" w:rsidRPr="00E91971">
        <w:trPr>
          <w:cantSplit/>
        </w:trPr>
        <w:tc>
          <w:tcPr>
            <w:tcW w:w="2376" w:type="dxa"/>
          </w:tcPr>
          <w:p w:rsidR="00E91971" w:rsidRPr="00E91971" w:rsidRDefault="00E91971">
            <w:pPr>
              <w:keepNext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ДАДср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-13,6**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-11,3**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-12,5*</w:t>
            </w:r>
          </w:p>
        </w:tc>
      </w:tr>
      <w:tr w:rsidR="00E91971" w:rsidRPr="00E91971">
        <w:trPr>
          <w:cantSplit/>
        </w:trPr>
        <w:tc>
          <w:tcPr>
            <w:tcW w:w="2376" w:type="dxa"/>
          </w:tcPr>
          <w:p w:rsidR="00E91971" w:rsidRPr="00E91971" w:rsidRDefault="00E91971">
            <w:pPr>
              <w:keepNext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ЧССср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-3,0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-1,2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-10,0*</w:t>
            </w:r>
          </w:p>
        </w:tc>
      </w:tr>
      <w:tr w:rsidR="00E91971" w:rsidRPr="00E91971">
        <w:trPr>
          <w:cantSplit/>
        </w:trPr>
        <w:tc>
          <w:tcPr>
            <w:tcW w:w="2376" w:type="dxa"/>
          </w:tcPr>
          <w:p w:rsidR="00E91971" w:rsidRPr="00E91971" w:rsidRDefault="00E91971">
            <w:pPr>
              <w:keepNext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САДд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-15,7***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-15,5**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-17,2*</w:t>
            </w:r>
          </w:p>
        </w:tc>
      </w:tr>
      <w:tr w:rsidR="00E91971" w:rsidRPr="00E91971">
        <w:trPr>
          <w:cantSplit/>
        </w:trPr>
        <w:tc>
          <w:tcPr>
            <w:tcW w:w="2376" w:type="dxa"/>
          </w:tcPr>
          <w:p w:rsidR="00E91971" w:rsidRPr="00E91971" w:rsidRDefault="00E91971">
            <w:pPr>
              <w:keepNext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ДАДд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-11,4**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-11,5**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-12,1**</w:t>
            </w:r>
          </w:p>
        </w:tc>
      </w:tr>
      <w:tr w:rsidR="00E91971" w:rsidRPr="00E91971">
        <w:trPr>
          <w:cantSplit/>
        </w:trPr>
        <w:tc>
          <w:tcPr>
            <w:tcW w:w="2376" w:type="dxa"/>
          </w:tcPr>
          <w:p w:rsidR="00E91971" w:rsidRPr="00E91971" w:rsidRDefault="00E91971">
            <w:pPr>
              <w:keepNext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ЧССд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-0,8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-1,2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-10,5*</w:t>
            </w:r>
          </w:p>
        </w:tc>
      </w:tr>
      <w:tr w:rsidR="00E91971" w:rsidRPr="00E91971">
        <w:trPr>
          <w:cantSplit/>
        </w:trPr>
        <w:tc>
          <w:tcPr>
            <w:tcW w:w="2376" w:type="dxa"/>
          </w:tcPr>
          <w:p w:rsidR="00E91971" w:rsidRPr="00E91971" w:rsidRDefault="00E91971">
            <w:pPr>
              <w:keepNext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САДн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-16,4***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-18,3**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-13,0**</w:t>
            </w:r>
          </w:p>
        </w:tc>
      </w:tr>
      <w:tr w:rsidR="00E91971" w:rsidRPr="00E91971">
        <w:trPr>
          <w:cantSplit/>
        </w:trPr>
        <w:tc>
          <w:tcPr>
            <w:tcW w:w="2376" w:type="dxa"/>
          </w:tcPr>
          <w:p w:rsidR="00E91971" w:rsidRPr="00E91971" w:rsidRDefault="00E91971">
            <w:pPr>
              <w:keepNext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ДАДн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-17,6**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-13,4**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-5,6*</w:t>
            </w:r>
          </w:p>
        </w:tc>
      </w:tr>
      <w:tr w:rsidR="00E91971" w:rsidRPr="00E91971">
        <w:trPr>
          <w:cantSplit/>
        </w:trPr>
        <w:tc>
          <w:tcPr>
            <w:tcW w:w="2376" w:type="dxa"/>
          </w:tcPr>
          <w:p w:rsidR="00E91971" w:rsidRPr="00E91971" w:rsidRDefault="00E91971">
            <w:pPr>
              <w:keepNext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ЧССн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-6,1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-2,5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-8,7</w:t>
            </w:r>
          </w:p>
        </w:tc>
      </w:tr>
      <w:tr w:rsidR="00E91971" w:rsidRPr="00E91971">
        <w:trPr>
          <w:cantSplit/>
        </w:trPr>
        <w:tc>
          <w:tcPr>
            <w:tcW w:w="2376" w:type="dxa"/>
          </w:tcPr>
          <w:p w:rsidR="00E91971" w:rsidRPr="00E91971" w:rsidRDefault="00E91971">
            <w:pPr>
              <w:keepNext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ИВ САДср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-63,0**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-59,5**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-60,1***</w:t>
            </w:r>
          </w:p>
        </w:tc>
      </w:tr>
      <w:tr w:rsidR="00E91971" w:rsidRPr="00E91971">
        <w:trPr>
          <w:cantSplit/>
        </w:trPr>
        <w:tc>
          <w:tcPr>
            <w:tcW w:w="2376" w:type="dxa"/>
          </w:tcPr>
          <w:p w:rsidR="00E91971" w:rsidRPr="00E91971" w:rsidRDefault="00E91971">
            <w:pPr>
              <w:keepNext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ИВ ДАДср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-60,6**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-52,6**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-67,2**</w:t>
            </w:r>
          </w:p>
        </w:tc>
      </w:tr>
      <w:tr w:rsidR="00E91971" w:rsidRPr="00E91971">
        <w:trPr>
          <w:cantSplit/>
        </w:trPr>
        <w:tc>
          <w:tcPr>
            <w:tcW w:w="2376" w:type="dxa"/>
          </w:tcPr>
          <w:p w:rsidR="00E91971" w:rsidRPr="00E91971" w:rsidRDefault="00E91971">
            <w:pPr>
              <w:keepNext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ИП САДср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-79,6***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-80,5**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-76,4***</w:t>
            </w:r>
          </w:p>
        </w:tc>
      </w:tr>
      <w:tr w:rsidR="00E91971" w:rsidRPr="00E91971">
        <w:trPr>
          <w:cantSplit/>
        </w:trPr>
        <w:tc>
          <w:tcPr>
            <w:tcW w:w="2376" w:type="dxa"/>
          </w:tcPr>
          <w:p w:rsidR="00E91971" w:rsidRPr="00E91971" w:rsidRDefault="00E91971">
            <w:pPr>
              <w:keepNext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ИП ДАДср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-78,2**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-70,3**</w:t>
            </w:r>
          </w:p>
        </w:tc>
        <w:tc>
          <w:tcPr>
            <w:tcW w:w="2032" w:type="dxa"/>
          </w:tcPr>
          <w:p w:rsidR="00E91971" w:rsidRPr="00E91971" w:rsidRDefault="00E91971">
            <w:pPr>
              <w:pStyle w:val="a3"/>
              <w:keepLines w:val="0"/>
              <w:jc w:val="center"/>
            </w:pPr>
            <w:r w:rsidRPr="00E91971">
              <w:t>-65,8*8</w:t>
            </w:r>
          </w:p>
        </w:tc>
      </w:tr>
    </w:tbl>
    <w:p w:rsidR="00E91971" w:rsidRDefault="00E91971">
      <w:pPr>
        <w:pStyle w:val="21"/>
        <w:keepLines w:val="0"/>
        <w:jc w:val="both"/>
        <w:rPr>
          <w:b w:val="0"/>
          <w:bCs w:val="0"/>
        </w:rPr>
      </w:pPr>
      <w:r>
        <w:rPr>
          <w:b w:val="0"/>
          <w:bCs w:val="0"/>
          <w:i/>
          <w:iCs/>
        </w:rPr>
        <w:t xml:space="preserve">Примечание: р – достоверность различий показателей по сравнению с исходным уровнем: * - р </w:t>
      </w:r>
      <w:r>
        <w:rPr>
          <w:b w:val="0"/>
          <w:bCs w:val="0"/>
          <w:i/>
          <w:iCs/>
        </w:rPr>
        <w:sym w:font="Symbol" w:char="F03C"/>
      </w:r>
      <w:r>
        <w:rPr>
          <w:b w:val="0"/>
          <w:bCs w:val="0"/>
          <w:i/>
          <w:iCs/>
        </w:rPr>
        <w:t xml:space="preserve"> 0,05, ** - р </w:t>
      </w:r>
      <w:r>
        <w:rPr>
          <w:b w:val="0"/>
          <w:bCs w:val="0"/>
          <w:i/>
          <w:iCs/>
        </w:rPr>
        <w:sym w:font="Symbol" w:char="F03C"/>
      </w:r>
      <w:r>
        <w:rPr>
          <w:b w:val="0"/>
          <w:bCs w:val="0"/>
          <w:i/>
          <w:iCs/>
        </w:rPr>
        <w:t xml:space="preserve"> 0,1, *** - р </w:t>
      </w:r>
      <w:r>
        <w:rPr>
          <w:b w:val="0"/>
          <w:bCs w:val="0"/>
          <w:i/>
          <w:iCs/>
        </w:rPr>
        <w:sym w:font="Symbol" w:char="F03C"/>
      </w:r>
      <w:r>
        <w:rPr>
          <w:b w:val="0"/>
          <w:bCs w:val="0"/>
          <w:i/>
          <w:iCs/>
        </w:rPr>
        <w:t xml:space="preserve"> 0,001</w:t>
      </w:r>
      <w:r>
        <w:rPr>
          <w:b w:val="0"/>
          <w:bCs w:val="0"/>
        </w:rPr>
        <w:t>.</w:t>
      </w:r>
    </w:p>
    <w:p w:rsidR="00E91971" w:rsidRDefault="00E91971">
      <w:pPr>
        <w:pStyle w:val="23"/>
        <w:spacing w:line="240" w:lineRule="auto"/>
        <w:ind w:firstLine="0"/>
        <w:jc w:val="right"/>
      </w:pPr>
    </w:p>
    <w:p w:rsidR="00E91971" w:rsidRDefault="00E91971">
      <w:pPr>
        <w:pStyle w:val="23"/>
        <w:spacing w:line="240" w:lineRule="auto"/>
        <w:ind w:firstLine="0"/>
        <w:jc w:val="right"/>
      </w:pPr>
      <w:r>
        <w:t xml:space="preserve">Таблица № 4. </w:t>
      </w:r>
    </w:p>
    <w:p w:rsidR="00E91971" w:rsidRDefault="00E91971">
      <w:pPr>
        <w:pStyle w:val="23"/>
        <w:spacing w:line="240" w:lineRule="auto"/>
        <w:ind w:firstLine="0"/>
        <w:jc w:val="center"/>
      </w:pPr>
      <w:r>
        <w:t>Типы суточных профилей САД (в %) при лечении</w:t>
      </w:r>
      <w:r>
        <w:rPr>
          <w:b w:val="0"/>
          <w:bCs w:val="0"/>
        </w:rPr>
        <w:t xml:space="preserve"> </w:t>
      </w:r>
      <w:r>
        <w:t xml:space="preserve">у больных </w:t>
      </w:r>
    </w:p>
    <w:p w:rsidR="00E91971" w:rsidRDefault="00E91971">
      <w:pPr>
        <w:pStyle w:val="23"/>
        <w:spacing w:line="240" w:lineRule="auto"/>
        <w:ind w:firstLine="0"/>
        <w:jc w:val="center"/>
      </w:pPr>
      <w:r>
        <w:t>АГ с метаболическими нарушениями</w:t>
      </w:r>
    </w:p>
    <w:tbl>
      <w:tblPr>
        <w:tblW w:w="0" w:type="auto"/>
        <w:tblInd w:w="-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2126"/>
        <w:gridCol w:w="2127"/>
      </w:tblGrid>
      <w:tr w:rsidR="00E91971" w:rsidRPr="00E91971">
        <w:trPr>
          <w:cantSplit/>
          <w:trHeight w:val="611"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Типы  СПАД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Эднит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Плендил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Логимакс</w:t>
            </w:r>
          </w:p>
        </w:tc>
      </w:tr>
      <w:tr w:rsidR="00E91971" w:rsidRPr="00E91971">
        <w:trPr>
          <w:cantSplit/>
          <w:trHeight w:val="416"/>
        </w:trPr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righ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до лечения / после лечения</w:t>
            </w:r>
          </w:p>
        </w:tc>
      </w:tr>
      <w:tr w:rsidR="00E91971" w:rsidRPr="00E91971">
        <w:trPr>
          <w:cantSplit/>
          <w:trHeight w:val="409"/>
        </w:trPr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both"/>
              <w:rPr>
                <w:sz w:val="28"/>
                <w:szCs w:val="28"/>
                <w:lang w:val="en-US"/>
              </w:rPr>
            </w:pPr>
            <w:r w:rsidRPr="00E91971">
              <w:rPr>
                <w:sz w:val="28"/>
                <w:szCs w:val="28"/>
                <w:lang w:val="en-US"/>
              </w:rPr>
              <w:t xml:space="preserve">Dippers    </w:t>
            </w:r>
          </w:p>
        </w:tc>
        <w:tc>
          <w:tcPr>
            <w:tcW w:w="2126" w:type="dxa"/>
            <w:tcBorders>
              <w:top w:val="nil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E91971">
              <w:rPr>
                <w:sz w:val="28"/>
                <w:szCs w:val="28"/>
                <w:lang w:val="en-US"/>
              </w:rPr>
              <w:t>14 / 45</w:t>
            </w:r>
          </w:p>
        </w:tc>
        <w:tc>
          <w:tcPr>
            <w:tcW w:w="2126" w:type="dxa"/>
            <w:tcBorders>
              <w:top w:val="nil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E91971">
              <w:rPr>
                <w:sz w:val="28"/>
                <w:szCs w:val="28"/>
                <w:lang w:val="en-US"/>
              </w:rPr>
              <w:t>30 / 64</w:t>
            </w:r>
          </w:p>
        </w:tc>
        <w:tc>
          <w:tcPr>
            <w:tcW w:w="2127" w:type="dxa"/>
            <w:tcBorders>
              <w:top w:val="nil"/>
              <w:righ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E91971">
              <w:rPr>
                <w:sz w:val="28"/>
                <w:szCs w:val="28"/>
                <w:lang w:val="en-US"/>
              </w:rPr>
              <w:t>40 / 47</w:t>
            </w:r>
          </w:p>
        </w:tc>
      </w:tr>
      <w:tr w:rsidR="00E91971" w:rsidRPr="00E91971">
        <w:trPr>
          <w:cantSplit/>
          <w:trHeight w:val="404"/>
        </w:trPr>
        <w:tc>
          <w:tcPr>
            <w:tcW w:w="1843" w:type="dxa"/>
            <w:tcBorders>
              <w:lef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both"/>
              <w:rPr>
                <w:sz w:val="28"/>
                <w:szCs w:val="28"/>
                <w:lang w:val="en-US"/>
              </w:rPr>
            </w:pPr>
            <w:r w:rsidRPr="00E91971">
              <w:rPr>
                <w:sz w:val="28"/>
                <w:szCs w:val="28"/>
                <w:lang w:val="en-US"/>
              </w:rPr>
              <w:t xml:space="preserve">overdippers  </w:t>
            </w:r>
          </w:p>
        </w:tc>
        <w:tc>
          <w:tcPr>
            <w:tcW w:w="2126" w:type="dxa"/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E91971">
              <w:rPr>
                <w:sz w:val="28"/>
                <w:szCs w:val="28"/>
                <w:lang w:val="en-US"/>
              </w:rPr>
              <w:t>0 / 0</w:t>
            </w:r>
          </w:p>
        </w:tc>
        <w:tc>
          <w:tcPr>
            <w:tcW w:w="2126" w:type="dxa"/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E91971">
              <w:rPr>
                <w:sz w:val="28"/>
                <w:szCs w:val="28"/>
                <w:lang w:val="en-US"/>
              </w:rPr>
              <w:t>15 / 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E91971">
              <w:rPr>
                <w:sz w:val="28"/>
                <w:szCs w:val="28"/>
                <w:lang w:val="en-US"/>
              </w:rPr>
              <w:t>0 / 0</w:t>
            </w:r>
          </w:p>
        </w:tc>
      </w:tr>
      <w:tr w:rsidR="00E91971" w:rsidRPr="00E91971">
        <w:trPr>
          <w:cantSplit/>
          <w:trHeight w:val="404"/>
        </w:trPr>
        <w:tc>
          <w:tcPr>
            <w:tcW w:w="1843" w:type="dxa"/>
            <w:tcBorders>
              <w:lef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both"/>
              <w:rPr>
                <w:sz w:val="28"/>
                <w:szCs w:val="28"/>
                <w:lang w:val="en-US"/>
              </w:rPr>
            </w:pPr>
            <w:r w:rsidRPr="00E91971">
              <w:rPr>
                <w:sz w:val="28"/>
                <w:szCs w:val="28"/>
                <w:lang w:val="en-US"/>
              </w:rPr>
              <w:t xml:space="preserve">nondippers   </w:t>
            </w:r>
          </w:p>
        </w:tc>
        <w:tc>
          <w:tcPr>
            <w:tcW w:w="2126" w:type="dxa"/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46 / 49</w:t>
            </w:r>
          </w:p>
        </w:tc>
        <w:tc>
          <w:tcPr>
            <w:tcW w:w="2126" w:type="dxa"/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25 /26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40 / 53</w:t>
            </w:r>
          </w:p>
        </w:tc>
      </w:tr>
      <w:tr w:rsidR="00E91971" w:rsidRPr="00E91971">
        <w:trPr>
          <w:cantSplit/>
          <w:trHeight w:val="4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  <w:lang w:val="en-US"/>
              </w:rPr>
              <w:t>nightpeakers</w:t>
            </w:r>
            <w:r w:rsidRPr="00E919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40 / 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30 / 5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20 / 0</w:t>
            </w:r>
          </w:p>
        </w:tc>
      </w:tr>
    </w:tbl>
    <w:p w:rsidR="00E91971" w:rsidRDefault="00E91971">
      <w:pPr>
        <w:pStyle w:val="23"/>
        <w:spacing w:line="240" w:lineRule="auto"/>
        <w:ind w:firstLine="0"/>
        <w:jc w:val="right"/>
      </w:pPr>
    </w:p>
    <w:p w:rsidR="00E91971" w:rsidRDefault="00E91971">
      <w:pPr>
        <w:pStyle w:val="23"/>
        <w:spacing w:line="240" w:lineRule="auto"/>
        <w:ind w:firstLine="0"/>
        <w:jc w:val="right"/>
      </w:pPr>
    </w:p>
    <w:p w:rsidR="00E91971" w:rsidRDefault="00E91971">
      <w:pPr>
        <w:pStyle w:val="23"/>
        <w:spacing w:line="240" w:lineRule="auto"/>
        <w:ind w:firstLine="0"/>
        <w:jc w:val="right"/>
      </w:pPr>
    </w:p>
    <w:p w:rsidR="00E91971" w:rsidRDefault="00E91971">
      <w:pPr>
        <w:pStyle w:val="23"/>
        <w:spacing w:line="240" w:lineRule="auto"/>
        <w:ind w:firstLine="0"/>
        <w:jc w:val="right"/>
      </w:pPr>
    </w:p>
    <w:p w:rsidR="00E91971" w:rsidRDefault="00E91971">
      <w:pPr>
        <w:pStyle w:val="23"/>
        <w:spacing w:line="240" w:lineRule="auto"/>
        <w:ind w:firstLine="0"/>
        <w:jc w:val="right"/>
      </w:pPr>
      <w:r>
        <w:t>Таблица № 5.</w:t>
      </w:r>
    </w:p>
    <w:p w:rsidR="00E91971" w:rsidRDefault="00E91971">
      <w:pPr>
        <w:pStyle w:val="23"/>
        <w:spacing w:line="240" w:lineRule="auto"/>
        <w:ind w:firstLine="0"/>
        <w:jc w:val="center"/>
      </w:pPr>
      <w:r>
        <w:t>Типы суточных профилей ДАД (в %) при лечении у больных АГ с метаболическими нарушениями</w:t>
      </w:r>
    </w:p>
    <w:tbl>
      <w:tblPr>
        <w:tblW w:w="0" w:type="auto"/>
        <w:tblInd w:w="-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3"/>
        <w:gridCol w:w="2031"/>
        <w:gridCol w:w="2032"/>
        <w:gridCol w:w="2032"/>
      </w:tblGrid>
      <w:tr w:rsidR="00E91971" w:rsidRPr="00E91971">
        <w:trPr>
          <w:cantSplit/>
          <w:trHeight w:val="615"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Типы  СПАД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Эднит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Плендил</w:t>
            </w: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Логимакс</w:t>
            </w:r>
          </w:p>
        </w:tc>
      </w:tr>
      <w:tr w:rsidR="00E91971" w:rsidRPr="00E91971">
        <w:trPr>
          <w:cantSplit/>
          <w:trHeight w:val="416"/>
        </w:trPr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3"/>
            <w:tcBorders>
              <w:top w:val="nil"/>
              <w:righ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до лечения / после лечения</w:t>
            </w:r>
          </w:p>
        </w:tc>
      </w:tr>
      <w:tr w:rsidR="00E91971" w:rsidRPr="00E91971">
        <w:trPr>
          <w:cantSplit/>
          <w:trHeight w:val="409"/>
        </w:trPr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both"/>
              <w:rPr>
                <w:sz w:val="28"/>
                <w:szCs w:val="28"/>
                <w:lang w:val="en-US"/>
              </w:rPr>
            </w:pPr>
            <w:r w:rsidRPr="00E91971">
              <w:rPr>
                <w:sz w:val="28"/>
                <w:szCs w:val="28"/>
                <w:lang w:val="en-US"/>
              </w:rPr>
              <w:t xml:space="preserve">Dippers    </w:t>
            </w:r>
          </w:p>
        </w:tc>
        <w:tc>
          <w:tcPr>
            <w:tcW w:w="2031" w:type="dxa"/>
            <w:tcBorders>
              <w:top w:val="nil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E91971">
              <w:rPr>
                <w:sz w:val="28"/>
                <w:szCs w:val="28"/>
                <w:lang w:val="en-US"/>
              </w:rPr>
              <w:t>23 / 61</w:t>
            </w:r>
          </w:p>
        </w:tc>
        <w:tc>
          <w:tcPr>
            <w:tcW w:w="2032" w:type="dxa"/>
            <w:tcBorders>
              <w:top w:val="nil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E91971">
              <w:rPr>
                <w:sz w:val="28"/>
                <w:szCs w:val="28"/>
                <w:lang w:val="en-US"/>
              </w:rPr>
              <w:t>30 / 53</w:t>
            </w:r>
          </w:p>
        </w:tc>
        <w:tc>
          <w:tcPr>
            <w:tcW w:w="2032" w:type="dxa"/>
            <w:tcBorders>
              <w:top w:val="nil"/>
              <w:righ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E91971">
              <w:rPr>
                <w:sz w:val="28"/>
                <w:szCs w:val="28"/>
                <w:lang w:val="en-US"/>
              </w:rPr>
              <w:t>33 / 73</w:t>
            </w:r>
          </w:p>
        </w:tc>
      </w:tr>
      <w:tr w:rsidR="00E91971" w:rsidRPr="00E91971">
        <w:trPr>
          <w:cantSplit/>
          <w:trHeight w:val="404"/>
        </w:trPr>
        <w:tc>
          <w:tcPr>
            <w:tcW w:w="1843" w:type="dxa"/>
            <w:tcBorders>
              <w:lef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both"/>
              <w:rPr>
                <w:sz w:val="28"/>
                <w:szCs w:val="28"/>
                <w:lang w:val="en-US"/>
              </w:rPr>
            </w:pPr>
            <w:r w:rsidRPr="00E91971">
              <w:rPr>
                <w:sz w:val="28"/>
                <w:szCs w:val="28"/>
                <w:lang w:val="en-US"/>
              </w:rPr>
              <w:t xml:space="preserve">overdippers  </w:t>
            </w:r>
          </w:p>
        </w:tc>
        <w:tc>
          <w:tcPr>
            <w:tcW w:w="2031" w:type="dxa"/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E91971">
              <w:rPr>
                <w:sz w:val="28"/>
                <w:szCs w:val="28"/>
                <w:lang w:val="en-US"/>
              </w:rPr>
              <w:t>9 / 6</w:t>
            </w:r>
          </w:p>
        </w:tc>
        <w:tc>
          <w:tcPr>
            <w:tcW w:w="2032" w:type="dxa"/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E91971">
              <w:rPr>
                <w:sz w:val="28"/>
                <w:szCs w:val="28"/>
                <w:lang w:val="en-US"/>
              </w:rPr>
              <w:t>10 / 0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E91971">
              <w:rPr>
                <w:sz w:val="28"/>
                <w:szCs w:val="28"/>
                <w:lang w:val="en-US"/>
              </w:rPr>
              <w:t>27 / 0</w:t>
            </w:r>
          </w:p>
        </w:tc>
      </w:tr>
      <w:tr w:rsidR="00E91971" w:rsidRPr="00E91971">
        <w:trPr>
          <w:cantSplit/>
          <w:trHeight w:val="404"/>
        </w:trPr>
        <w:tc>
          <w:tcPr>
            <w:tcW w:w="1843" w:type="dxa"/>
            <w:tcBorders>
              <w:lef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both"/>
              <w:rPr>
                <w:sz w:val="28"/>
                <w:szCs w:val="28"/>
                <w:lang w:val="en-US"/>
              </w:rPr>
            </w:pPr>
            <w:r w:rsidRPr="00E91971">
              <w:rPr>
                <w:sz w:val="28"/>
                <w:szCs w:val="28"/>
                <w:lang w:val="en-US"/>
              </w:rPr>
              <w:t xml:space="preserve">nondippers   </w:t>
            </w:r>
          </w:p>
        </w:tc>
        <w:tc>
          <w:tcPr>
            <w:tcW w:w="2031" w:type="dxa"/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39 / 27</w:t>
            </w:r>
          </w:p>
        </w:tc>
        <w:tc>
          <w:tcPr>
            <w:tcW w:w="2032" w:type="dxa"/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30 / 42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33 / 27</w:t>
            </w:r>
          </w:p>
        </w:tc>
      </w:tr>
      <w:tr w:rsidR="00E91971" w:rsidRPr="00E91971">
        <w:trPr>
          <w:cantSplit/>
          <w:trHeight w:val="4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both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  <w:lang w:val="en-US"/>
              </w:rPr>
              <w:t>nightpeakers</w:t>
            </w:r>
            <w:r w:rsidRPr="00E919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29 / 6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30 / 5</w:t>
            </w:r>
          </w:p>
        </w:tc>
        <w:tc>
          <w:tcPr>
            <w:tcW w:w="2032" w:type="dxa"/>
            <w:tcBorders>
              <w:bottom w:val="single" w:sz="4" w:space="0" w:color="auto"/>
              <w:right w:val="single" w:sz="4" w:space="0" w:color="auto"/>
            </w:tcBorders>
          </w:tcPr>
          <w:p w:rsidR="00E91971" w:rsidRPr="00E91971" w:rsidRDefault="00E91971">
            <w:pPr>
              <w:keepNext/>
              <w:tabs>
                <w:tab w:val="center" w:pos="3828"/>
              </w:tabs>
              <w:spacing w:before="120"/>
              <w:jc w:val="center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7 / 0</w:t>
            </w:r>
          </w:p>
        </w:tc>
      </w:tr>
    </w:tbl>
    <w:p w:rsidR="00E91971" w:rsidRDefault="00E91971">
      <w:pPr>
        <w:keepNext/>
        <w:jc w:val="both"/>
        <w:rPr>
          <w:sz w:val="28"/>
          <w:szCs w:val="28"/>
        </w:rPr>
      </w:pPr>
    </w:p>
    <w:p w:rsidR="00E91971" w:rsidRDefault="00E91971">
      <w:pPr>
        <w:pStyle w:val="31"/>
        <w:keepNext/>
        <w:tabs>
          <w:tab w:val="center" w:pos="3828"/>
        </w:tabs>
        <w:spacing w:before="120"/>
        <w:jc w:val="right"/>
        <w:rPr>
          <w:b/>
          <w:bCs/>
        </w:rPr>
      </w:pPr>
      <w:r>
        <w:rPr>
          <w:b/>
          <w:bCs/>
        </w:rPr>
        <w:t xml:space="preserve">Таблица № 6. </w:t>
      </w:r>
    </w:p>
    <w:p w:rsidR="00E91971" w:rsidRDefault="00E91971">
      <w:pPr>
        <w:pStyle w:val="31"/>
        <w:keepNext/>
        <w:tabs>
          <w:tab w:val="center" w:pos="3828"/>
        </w:tabs>
        <w:spacing w:before="120"/>
        <w:jc w:val="center"/>
        <w:rPr>
          <w:b/>
          <w:bCs/>
        </w:rPr>
      </w:pPr>
      <w:r>
        <w:rPr>
          <w:b/>
          <w:bCs/>
        </w:rPr>
        <w:t xml:space="preserve">Динамика исходно повышенной ВАД под влиянием </w:t>
      </w:r>
    </w:p>
    <w:p w:rsidR="00E91971" w:rsidRDefault="00E91971">
      <w:pPr>
        <w:pStyle w:val="31"/>
        <w:keepNext/>
        <w:tabs>
          <w:tab w:val="center" w:pos="3828"/>
        </w:tabs>
        <w:spacing w:before="120"/>
        <w:jc w:val="center"/>
        <w:rPr>
          <w:b/>
          <w:bCs/>
        </w:rPr>
      </w:pPr>
      <w:r>
        <w:rPr>
          <w:b/>
          <w:bCs/>
        </w:rPr>
        <w:t>лечения у больных АГ с метаболическими нарушениями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2132"/>
        <w:gridCol w:w="2132"/>
        <w:gridCol w:w="2132"/>
      </w:tblGrid>
      <w:tr w:rsidR="00E91971" w:rsidRPr="00E91971">
        <w:trPr>
          <w:cantSplit/>
          <w:trHeight w:val="474"/>
        </w:trPr>
        <w:tc>
          <w:tcPr>
            <w:tcW w:w="2131" w:type="dxa"/>
          </w:tcPr>
          <w:p w:rsidR="00E91971" w:rsidRPr="00E91971" w:rsidRDefault="00E91971">
            <w:pPr>
              <w:pStyle w:val="31"/>
              <w:keepNext/>
              <w:tabs>
                <w:tab w:val="center" w:pos="3828"/>
              </w:tabs>
              <w:spacing w:before="120"/>
              <w:ind w:firstLine="0"/>
            </w:pPr>
          </w:p>
        </w:tc>
        <w:tc>
          <w:tcPr>
            <w:tcW w:w="2131" w:type="dxa"/>
          </w:tcPr>
          <w:p w:rsidR="00E91971" w:rsidRPr="00E91971" w:rsidRDefault="00E91971">
            <w:pPr>
              <w:pStyle w:val="31"/>
              <w:keepNext/>
              <w:tabs>
                <w:tab w:val="center" w:pos="3828"/>
              </w:tabs>
              <w:spacing w:before="120"/>
              <w:ind w:firstLine="0"/>
              <w:jc w:val="center"/>
            </w:pPr>
            <w:r w:rsidRPr="00E91971">
              <w:t>Эднит</w:t>
            </w:r>
          </w:p>
        </w:tc>
        <w:tc>
          <w:tcPr>
            <w:tcW w:w="2132" w:type="dxa"/>
          </w:tcPr>
          <w:p w:rsidR="00E91971" w:rsidRPr="00E91971" w:rsidRDefault="00E91971">
            <w:pPr>
              <w:pStyle w:val="31"/>
              <w:keepNext/>
              <w:tabs>
                <w:tab w:val="center" w:pos="3828"/>
              </w:tabs>
              <w:spacing w:before="120"/>
              <w:ind w:firstLine="0"/>
              <w:jc w:val="center"/>
            </w:pPr>
            <w:r w:rsidRPr="00E91971">
              <w:t>Плендил</w:t>
            </w:r>
          </w:p>
        </w:tc>
        <w:tc>
          <w:tcPr>
            <w:tcW w:w="2132" w:type="dxa"/>
          </w:tcPr>
          <w:p w:rsidR="00E91971" w:rsidRPr="00E91971" w:rsidRDefault="00E91971">
            <w:pPr>
              <w:pStyle w:val="31"/>
              <w:keepNext/>
              <w:tabs>
                <w:tab w:val="center" w:pos="3828"/>
              </w:tabs>
              <w:spacing w:before="120"/>
              <w:ind w:firstLine="0"/>
              <w:jc w:val="center"/>
            </w:pPr>
            <w:r w:rsidRPr="00E91971">
              <w:t>Логимакс</w:t>
            </w:r>
          </w:p>
        </w:tc>
      </w:tr>
      <w:tr w:rsidR="00E91971" w:rsidRPr="00E91971">
        <w:trPr>
          <w:cantSplit/>
          <w:trHeight w:val="267"/>
        </w:trPr>
        <w:tc>
          <w:tcPr>
            <w:tcW w:w="2131" w:type="dxa"/>
          </w:tcPr>
          <w:p w:rsidR="00E91971" w:rsidRPr="00E91971" w:rsidRDefault="00E91971">
            <w:pPr>
              <w:pStyle w:val="31"/>
              <w:keepNext/>
              <w:tabs>
                <w:tab w:val="center" w:pos="3828"/>
              </w:tabs>
              <w:spacing w:before="120"/>
              <w:ind w:firstLine="0"/>
            </w:pPr>
            <w:r w:rsidRPr="00E91971">
              <w:t>Вар САД день</w:t>
            </w:r>
          </w:p>
        </w:tc>
        <w:tc>
          <w:tcPr>
            <w:tcW w:w="2132" w:type="dxa"/>
          </w:tcPr>
          <w:p w:rsidR="00E91971" w:rsidRPr="00E91971" w:rsidRDefault="00E91971">
            <w:pPr>
              <w:pStyle w:val="31"/>
              <w:keepNext/>
              <w:tabs>
                <w:tab w:val="center" w:pos="3828"/>
              </w:tabs>
              <w:spacing w:before="120"/>
              <w:ind w:firstLine="0"/>
              <w:jc w:val="center"/>
            </w:pPr>
            <w:r w:rsidRPr="00E91971">
              <w:t>-30***</w:t>
            </w:r>
          </w:p>
        </w:tc>
        <w:tc>
          <w:tcPr>
            <w:tcW w:w="2131" w:type="dxa"/>
          </w:tcPr>
          <w:p w:rsidR="00E91971" w:rsidRPr="00E91971" w:rsidRDefault="00E91971">
            <w:pPr>
              <w:pStyle w:val="31"/>
              <w:keepNext/>
              <w:tabs>
                <w:tab w:val="center" w:pos="3828"/>
              </w:tabs>
              <w:spacing w:before="120"/>
              <w:ind w:firstLine="0"/>
              <w:jc w:val="center"/>
            </w:pPr>
            <w:r w:rsidRPr="00E91971">
              <w:t>-20**</w:t>
            </w:r>
          </w:p>
        </w:tc>
        <w:tc>
          <w:tcPr>
            <w:tcW w:w="2132" w:type="dxa"/>
          </w:tcPr>
          <w:p w:rsidR="00E91971" w:rsidRPr="00E91971" w:rsidRDefault="00E91971">
            <w:pPr>
              <w:pStyle w:val="31"/>
              <w:keepNext/>
              <w:tabs>
                <w:tab w:val="center" w:pos="3828"/>
              </w:tabs>
              <w:spacing w:before="120"/>
              <w:ind w:firstLine="0"/>
              <w:jc w:val="center"/>
            </w:pPr>
            <w:r w:rsidRPr="00E91971">
              <w:t>-19*</w:t>
            </w:r>
          </w:p>
        </w:tc>
      </w:tr>
      <w:tr w:rsidR="00E91971" w:rsidRPr="00E91971">
        <w:trPr>
          <w:cantSplit/>
          <w:trHeight w:val="373"/>
        </w:trPr>
        <w:tc>
          <w:tcPr>
            <w:tcW w:w="2131" w:type="dxa"/>
          </w:tcPr>
          <w:p w:rsidR="00E91971" w:rsidRPr="00E91971" w:rsidRDefault="00E91971">
            <w:pPr>
              <w:pStyle w:val="31"/>
              <w:keepNext/>
              <w:tabs>
                <w:tab w:val="center" w:pos="3828"/>
              </w:tabs>
              <w:spacing w:before="120"/>
              <w:ind w:firstLine="0"/>
            </w:pPr>
            <w:r w:rsidRPr="00E91971">
              <w:t>Вар САД ночь</w:t>
            </w:r>
          </w:p>
        </w:tc>
        <w:tc>
          <w:tcPr>
            <w:tcW w:w="2132" w:type="dxa"/>
          </w:tcPr>
          <w:p w:rsidR="00E91971" w:rsidRPr="00E91971" w:rsidRDefault="00E91971">
            <w:pPr>
              <w:pStyle w:val="31"/>
              <w:keepNext/>
              <w:tabs>
                <w:tab w:val="center" w:pos="3828"/>
              </w:tabs>
              <w:spacing w:before="120"/>
              <w:ind w:firstLine="0"/>
              <w:jc w:val="center"/>
            </w:pPr>
            <w:r w:rsidRPr="00E91971">
              <w:t>-31**</w:t>
            </w:r>
          </w:p>
        </w:tc>
        <w:tc>
          <w:tcPr>
            <w:tcW w:w="2131" w:type="dxa"/>
          </w:tcPr>
          <w:p w:rsidR="00E91971" w:rsidRPr="00E91971" w:rsidRDefault="00E91971">
            <w:pPr>
              <w:pStyle w:val="31"/>
              <w:keepNext/>
              <w:tabs>
                <w:tab w:val="center" w:pos="3828"/>
              </w:tabs>
              <w:spacing w:before="120"/>
              <w:ind w:firstLine="0"/>
              <w:jc w:val="center"/>
            </w:pPr>
            <w:r w:rsidRPr="00E91971">
              <w:t>-13*</w:t>
            </w:r>
          </w:p>
        </w:tc>
        <w:tc>
          <w:tcPr>
            <w:tcW w:w="2132" w:type="dxa"/>
          </w:tcPr>
          <w:p w:rsidR="00E91971" w:rsidRPr="00E91971" w:rsidRDefault="00E91971">
            <w:pPr>
              <w:pStyle w:val="31"/>
              <w:keepNext/>
              <w:tabs>
                <w:tab w:val="center" w:pos="3828"/>
              </w:tabs>
              <w:spacing w:before="120"/>
              <w:ind w:firstLine="0"/>
              <w:jc w:val="center"/>
            </w:pPr>
            <w:r w:rsidRPr="00E91971">
              <w:t>-34*</w:t>
            </w:r>
          </w:p>
        </w:tc>
      </w:tr>
      <w:tr w:rsidR="00E91971" w:rsidRPr="00E91971">
        <w:trPr>
          <w:cantSplit/>
          <w:trHeight w:val="350"/>
        </w:trPr>
        <w:tc>
          <w:tcPr>
            <w:tcW w:w="2131" w:type="dxa"/>
          </w:tcPr>
          <w:p w:rsidR="00E91971" w:rsidRPr="00E91971" w:rsidRDefault="00E91971">
            <w:pPr>
              <w:pStyle w:val="31"/>
              <w:keepNext/>
              <w:tabs>
                <w:tab w:val="center" w:pos="3828"/>
              </w:tabs>
              <w:spacing w:before="120"/>
              <w:ind w:firstLine="0"/>
            </w:pPr>
            <w:r w:rsidRPr="00E91971">
              <w:t>Вар ДАД день</w:t>
            </w:r>
          </w:p>
        </w:tc>
        <w:tc>
          <w:tcPr>
            <w:tcW w:w="2132" w:type="dxa"/>
          </w:tcPr>
          <w:p w:rsidR="00E91971" w:rsidRPr="00E91971" w:rsidRDefault="00E91971">
            <w:pPr>
              <w:pStyle w:val="31"/>
              <w:keepNext/>
              <w:tabs>
                <w:tab w:val="center" w:pos="3828"/>
              </w:tabs>
              <w:spacing w:before="120"/>
              <w:ind w:firstLine="0"/>
              <w:jc w:val="center"/>
            </w:pPr>
            <w:r w:rsidRPr="00E91971">
              <w:t>-34***</w:t>
            </w:r>
          </w:p>
        </w:tc>
        <w:tc>
          <w:tcPr>
            <w:tcW w:w="2131" w:type="dxa"/>
          </w:tcPr>
          <w:p w:rsidR="00E91971" w:rsidRPr="00E91971" w:rsidRDefault="00E91971">
            <w:pPr>
              <w:pStyle w:val="31"/>
              <w:keepNext/>
              <w:tabs>
                <w:tab w:val="center" w:pos="3828"/>
              </w:tabs>
              <w:spacing w:before="120"/>
              <w:ind w:firstLine="0"/>
              <w:jc w:val="center"/>
            </w:pPr>
            <w:r w:rsidRPr="00E91971">
              <w:t>-14*</w:t>
            </w:r>
          </w:p>
        </w:tc>
        <w:tc>
          <w:tcPr>
            <w:tcW w:w="2132" w:type="dxa"/>
          </w:tcPr>
          <w:p w:rsidR="00E91971" w:rsidRPr="00E91971" w:rsidRDefault="00E91971">
            <w:pPr>
              <w:pStyle w:val="31"/>
              <w:keepNext/>
              <w:tabs>
                <w:tab w:val="center" w:pos="3828"/>
              </w:tabs>
              <w:spacing w:before="120"/>
              <w:ind w:firstLine="0"/>
              <w:jc w:val="center"/>
            </w:pPr>
            <w:r w:rsidRPr="00E91971">
              <w:t>-18 (н. д.)</w:t>
            </w:r>
          </w:p>
        </w:tc>
      </w:tr>
      <w:tr w:rsidR="00E91971" w:rsidRPr="00E91971">
        <w:trPr>
          <w:cantSplit/>
          <w:trHeight w:val="329"/>
        </w:trPr>
        <w:tc>
          <w:tcPr>
            <w:tcW w:w="2131" w:type="dxa"/>
          </w:tcPr>
          <w:p w:rsidR="00E91971" w:rsidRPr="00E91971" w:rsidRDefault="00E91971">
            <w:pPr>
              <w:pStyle w:val="31"/>
              <w:keepNext/>
              <w:tabs>
                <w:tab w:val="center" w:pos="3828"/>
              </w:tabs>
              <w:spacing w:before="120"/>
              <w:ind w:firstLine="0"/>
            </w:pPr>
            <w:r w:rsidRPr="00E91971">
              <w:t>Вар ДАД ночь</w:t>
            </w:r>
          </w:p>
        </w:tc>
        <w:tc>
          <w:tcPr>
            <w:tcW w:w="2132" w:type="dxa"/>
          </w:tcPr>
          <w:p w:rsidR="00E91971" w:rsidRPr="00E91971" w:rsidRDefault="00E91971">
            <w:pPr>
              <w:pStyle w:val="31"/>
              <w:keepNext/>
              <w:tabs>
                <w:tab w:val="center" w:pos="3828"/>
              </w:tabs>
              <w:spacing w:before="120"/>
              <w:ind w:firstLine="0"/>
              <w:jc w:val="center"/>
            </w:pPr>
            <w:r w:rsidRPr="00E91971">
              <w:t>-33**</w:t>
            </w:r>
          </w:p>
        </w:tc>
        <w:tc>
          <w:tcPr>
            <w:tcW w:w="2131" w:type="dxa"/>
          </w:tcPr>
          <w:p w:rsidR="00E91971" w:rsidRPr="00E91971" w:rsidRDefault="00E91971">
            <w:pPr>
              <w:pStyle w:val="31"/>
              <w:keepNext/>
              <w:tabs>
                <w:tab w:val="center" w:pos="3828"/>
              </w:tabs>
              <w:spacing w:before="120"/>
              <w:ind w:firstLine="0"/>
              <w:jc w:val="center"/>
            </w:pPr>
            <w:r w:rsidRPr="00E91971">
              <w:t>-14*</w:t>
            </w:r>
          </w:p>
        </w:tc>
        <w:tc>
          <w:tcPr>
            <w:tcW w:w="2132" w:type="dxa"/>
          </w:tcPr>
          <w:p w:rsidR="00E91971" w:rsidRPr="00E91971" w:rsidRDefault="00E91971">
            <w:pPr>
              <w:pStyle w:val="31"/>
              <w:keepNext/>
              <w:tabs>
                <w:tab w:val="center" w:pos="3828"/>
              </w:tabs>
              <w:spacing w:before="120"/>
              <w:ind w:firstLine="0"/>
              <w:jc w:val="center"/>
            </w:pPr>
            <w:r w:rsidRPr="00E91971">
              <w:t>-36***</w:t>
            </w:r>
          </w:p>
        </w:tc>
      </w:tr>
    </w:tbl>
    <w:p w:rsidR="00E91971" w:rsidRDefault="00E91971">
      <w:pPr>
        <w:keepNext/>
        <w:jc w:val="both"/>
        <w:rPr>
          <w:sz w:val="28"/>
          <w:szCs w:val="28"/>
        </w:rPr>
      </w:pPr>
    </w:p>
    <w:p w:rsidR="00E91971" w:rsidRDefault="00E91971">
      <w:pPr>
        <w:keepNext/>
        <w:jc w:val="both"/>
        <w:rPr>
          <w:sz w:val="28"/>
          <w:szCs w:val="28"/>
        </w:rPr>
      </w:pPr>
    </w:p>
    <w:p w:rsidR="00E91971" w:rsidRDefault="00E91971">
      <w:pPr>
        <w:keepNext/>
        <w:jc w:val="both"/>
        <w:rPr>
          <w:sz w:val="28"/>
          <w:szCs w:val="28"/>
        </w:rPr>
      </w:pPr>
    </w:p>
    <w:p w:rsidR="00E91971" w:rsidRDefault="00E91971">
      <w:pPr>
        <w:keepNext/>
        <w:jc w:val="both"/>
        <w:rPr>
          <w:sz w:val="28"/>
          <w:szCs w:val="28"/>
        </w:rPr>
      </w:pPr>
    </w:p>
    <w:p w:rsidR="00E91971" w:rsidRDefault="00E91971">
      <w:pPr>
        <w:keepNext/>
        <w:jc w:val="both"/>
        <w:rPr>
          <w:sz w:val="28"/>
          <w:szCs w:val="28"/>
        </w:rPr>
      </w:pPr>
    </w:p>
    <w:p w:rsidR="00E91971" w:rsidRDefault="00E91971">
      <w:pPr>
        <w:keepNext/>
        <w:jc w:val="both"/>
        <w:rPr>
          <w:sz w:val="28"/>
          <w:szCs w:val="28"/>
        </w:rPr>
      </w:pPr>
    </w:p>
    <w:p w:rsidR="00E91971" w:rsidRDefault="00E91971">
      <w:pPr>
        <w:keepNext/>
        <w:jc w:val="both"/>
        <w:rPr>
          <w:sz w:val="28"/>
          <w:szCs w:val="28"/>
        </w:rPr>
      </w:pPr>
    </w:p>
    <w:p w:rsidR="00E91971" w:rsidRDefault="00E91971">
      <w:pPr>
        <w:keepNext/>
        <w:jc w:val="both"/>
        <w:rPr>
          <w:sz w:val="28"/>
          <w:szCs w:val="28"/>
        </w:rPr>
      </w:pPr>
    </w:p>
    <w:p w:rsidR="00E91971" w:rsidRDefault="00E91971">
      <w:pPr>
        <w:keepNext/>
        <w:jc w:val="both"/>
        <w:rPr>
          <w:sz w:val="28"/>
          <w:szCs w:val="28"/>
        </w:rPr>
      </w:pPr>
    </w:p>
    <w:p w:rsidR="00E91971" w:rsidRDefault="00E91971">
      <w:pPr>
        <w:keepNext/>
        <w:jc w:val="both"/>
        <w:rPr>
          <w:sz w:val="28"/>
          <w:szCs w:val="28"/>
        </w:rPr>
      </w:pPr>
    </w:p>
    <w:p w:rsidR="00E91971" w:rsidRDefault="00E91971">
      <w:pPr>
        <w:keepNext/>
        <w:jc w:val="both"/>
        <w:rPr>
          <w:sz w:val="28"/>
          <w:szCs w:val="28"/>
        </w:rPr>
      </w:pPr>
    </w:p>
    <w:p w:rsidR="00E91971" w:rsidRDefault="00E91971">
      <w:pPr>
        <w:keepNext/>
        <w:jc w:val="both"/>
        <w:rPr>
          <w:sz w:val="28"/>
          <w:szCs w:val="28"/>
        </w:rPr>
      </w:pPr>
    </w:p>
    <w:p w:rsidR="00E91971" w:rsidRDefault="00E91971">
      <w:pPr>
        <w:keepNext/>
        <w:jc w:val="both"/>
        <w:rPr>
          <w:sz w:val="28"/>
          <w:szCs w:val="28"/>
        </w:rPr>
      </w:pPr>
    </w:p>
    <w:p w:rsidR="00E91971" w:rsidRDefault="00E91971">
      <w:pPr>
        <w:keepNext/>
        <w:jc w:val="both"/>
        <w:rPr>
          <w:sz w:val="28"/>
          <w:szCs w:val="28"/>
        </w:rPr>
      </w:pPr>
    </w:p>
    <w:p w:rsidR="00E91971" w:rsidRDefault="00E91971">
      <w:pPr>
        <w:keepNext/>
        <w:jc w:val="both"/>
        <w:rPr>
          <w:sz w:val="28"/>
          <w:szCs w:val="28"/>
        </w:rPr>
      </w:pPr>
    </w:p>
    <w:p w:rsidR="00E91971" w:rsidRDefault="00E91971">
      <w:pPr>
        <w:keepNext/>
        <w:jc w:val="both"/>
        <w:rPr>
          <w:sz w:val="28"/>
          <w:szCs w:val="28"/>
        </w:rPr>
      </w:pPr>
    </w:p>
    <w:p w:rsidR="00E91971" w:rsidRDefault="00E91971">
      <w:pPr>
        <w:keepNext/>
        <w:jc w:val="both"/>
        <w:rPr>
          <w:sz w:val="28"/>
          <w:szCs w:val="28"/>
        </w:rPr>
      </w:pPr>
    </w:p>
    <w:p w:rsidR="00E91971" w:rsidRDefault="00E91971">
      <w:pPr>
        <w:keepNext/>
        <w:jc w:val="both"/>
        <w:rPr>
          <w:sz w:val="28"/>
          <w:szCs w:val="28"/>
        </w:rPr>
      </w:pPr>
    </w:p>
    <w:p w:rsidR="00E91971" w:rsidRDefault="00E91971">
      <w:pPr>
        <w:jc w:val="right"/>
        <w:outlineLvl w:val="0"/>
        <w:rPr>
          <w:b/>
          <w:bCs/>
          <w:sz w:val="28"/>
          <w:szCs w:val="28"/>
        </w:rPr>
        <w:sectPr w:rsidR="00E91971">
          <w:pgSz w:w="11906" w:h="16838"/>
          <w:pgMar w:top="1134" w:right="1797" w:bottom="1134" w:left="1797" w:header="720" w:footer="720" w:gutter="0"/>
          <w:cols w:space="720"/>
        </w:sectPr>
      </w:pPr>
    </w:p>
    <w:p w:rsidR="00E91971" w:rsidRDefault="00E91971">
      <w:pPr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№ 7.</w:t>
      </w:r>
    </w:p>
    <w:p w:rsidR="00E91971" w:rsidRDefault="00E91971">
      <w:pPr>
        <w:spacing w:line="360" w:lineRule="auto"/>
        <w:ind w:left="709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морфофункциональных параметров сердца у больных АГ с метаболическими факторами риска на фоне терапии </w:t>
      </w:r>
    </w:p>
    <w:p w:rsidR="00E91971" w:rsidRDefault="00E91971">
      <w:pPr>
        <w:spacing w:line="180" w:lineRule="exact"/>
        <w:ind w:left="709" w:firstLine="72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30"/>
        <w:gridCol w:w="1631"/>
        <w:gridCol w:w="802"/>
        <w:gridCol w:w="1583"/>
        <w:gridCol w:w="1584"/>
        <w:gridCol w:w="897"/>
        <w:gridCol w:w="1677"/>
        <w:gridCol w:w="1678"/>
        <w:gridCol w:w="851"/>
      </w:tblGrid>
      <w:tr w:rsidR="00E91971" w:rsidRPr="00E91971">
        <w:trPr>
          <w:cantSplit/>
        </w:trPr>
        <w:tc>
          <w:tcPr>
            <w:tcW w:w="2268" w:type="dxa"/>
            <w:vMerge w:val="restart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Параметры</w:t>
            </w:r>
          </w:p>
        </w:tc>
        <w:tc>
          <w:tcPr>
            <w:tcW w:w="4063" w:type="dxa"/>
            <w:gridSpan w:val="3"/>
          </w:tcPr>
          <w:p w:rsidR="00E91971" w:rsidRPr="00E91971" w:rsidRDefault="00E91971">
            <w:pPr>
              <w:pStyle w:val="a3"/>
              <w:spacing w:line="360" w:lineRule="auto"/>
              <w:jc w:val="center"/>
            </w:pPr>
            <w:r w:rsidRPr="00E91971">
              <w:t>Эднит</w:t>
            </w:r>
          </w:p>
        </w:tc>
        <w:tc>
          <w:tcPr>
            <w:tcW w:w="4064" w:type="dxa"/>
            <w:gridSpan w:val="3"/>
          </w:tcPr>
          <w:p w:rsidR="00E91971" w:rsidRPr="00E91971" w:rsidRDefault="00E91971">
            <w:pPr>
              <w:pStyle w:val="a3"/>
              <w:spacing w:line="360" w:lineRule="auto"/>
              <w:jc w:val="center"/>
            </w:pPr>
            <w:r w:rsidRPr="00E91971">
              <w:t>Плендил</w:t>
            </w:r>
          </w:p>
        </w:tc>
        <w:tc>
          <w:tcPr>
            <w:tcW w:w="4206" w:type="dxa"/>
            <w:gridSpan w:val="3"/>
          </w:tcPr>
          <w:p w:rsidR="00E91971" w:rsidRPr="00E91971" w:rsidRDefault="00E91971">
            <w:pPr>
              <w:pStyle w:val="a3"/>
              <w:spacing w:line="360" w:lineRule="auto"/>
              <w:jc w:val="center"/>
            </w:pPr>
            <w:r w:rsidRPr="00E91971">
              <w:t>Логимакс</w:t>
            </w:r>
          </w:p>
        </w:tc>
      </w:tr>
      <w:tr w:rsidR="00E91971" w:rsidRPr="00E91971">
        <w:trPr>
          <w:cantSplit/>
        </w:trPr>
        <w:tc>
          <w:tcPr>
            <w:tcW w:w="2268" w:type="dxa"/>
            <w:vMerge/>
          </w:tcPr>
          <w:p w:rsidR="00E91971" w:rsidRPr="00E91971" w:rsidRDefault="00E91971">
            <w:pPr>
              <w:pStyle w:val="a3"/>
              <w:spacing w:line="360" w:lineRule="auto"/>
            </w:pPr>
          </w:p>
        </w:tc>
        <w:tc>
          <w:tcPr>
            <w:tcW w:w="1630" w:type="dxa"/>
          </w:tcPr>
          <w:p w:rsidR="00E91971" w:rsidRPr="00E91971" w:rsidRDefault="00E91971">
            <w:pPr>
              <w:pStyle w:val="a3"/>
              <w:jc w:val="center"/>
            </w:pPr>
            <w:r w:rsidRPr="00E91971">
              <w:t xml:space="preserve">До </w:t>
            </w:r>
          </w:p>
          <w:p w:rsidR="00E91971" w:rsidRPr="00E91971" w:rsidRDefault="00E91971">
            <w:pPr>
              <w:pStyle w:val="a3"/>
              <w:jc w:val="center"/>
            </w:pPr>
            <w:r w:rsidRPr="00E91971">
              <w:t>лечения</w:t>
            </w:r>
          </w:p>
        </w:tc>
        <w:tc>
          <w:tcPr>
            <w:tcW w:w="1631" w:type="dxa"/>
          </w:tcPr>
          <w:p w:rsidR="00E91971" w:rsidRPr="00E91971" w:rsidRDefault="00E91971">
            <w:pPr>
              <w:pStyle w:val="a3"/>
              <w:jc w:val="center"/>
            </w:pPr>
            <w:r w:rsidRPr="00E91971">
              <w:t>После</w:t>
            </w:r>
          </w:p>
          <w:p w:rsidR="00E91971" w:rsidRPr="00E91971" w:rsidRDefault="00E91971">
            <w:pPr>
              <w:pStyle w:val="a3"/>
              <w:jc w:val="center"/>
            </w:pPr>
            <w:r w:rsidRPr="00E91971">
              <w:t>лечения</w:t>
            </w:r>
          </w:p>
        </w:tc>
        <w:tc>
          <w:tcPr>
            <w:tcW w:w="802" w:type="dxa"/>
          </w:tcPr>
          <w:p w:rsidR="00E91971" w:rsidRPr="00E91971" w:rsidRDefault="00E91971">
            <w:pPr>
              <w:pStyle w:val="a3"/>
              <w:jc w:val="center"/>
            </w:pPr>
            <w:r w:rsidRPr="00E91971">
              <w:t>Δ, %</w:t>
            </w:r>
          </w:p>
        </w:tc>
        <w:tc>
          <w:tcPr>
            <w:tcW w:w="1583" w:type="dxa"/>
          </w:tcPr>
          <w:p w:rsidR="00E91971" w:rsidRPr="00E91971" w:rsidRDefault="00E91971">
            <w:pPr>
              <w:pStyle w:val="a3"/>
              <w:jc w:val="center"/>
            </w:pPr>
            <w:r w:rsidRPr="00E91971">
              <w:t xml:space="preserve">До </w:t>
            </w:r>
          </w:p>
          <w:p w:rsidR="00E91971" w:rsidRPr="00E91971" w:rsidRDefault="00E91971">
            <w:pPr>
              <w:pStyle w:val="a3"/>
              <w:jc w:val="center"/>
            </w:pPr>
            <w:r w:rsidRPr="00E91971">
              <w:t>лечения</w:t>
            </w:r>
          </w:p>
        </w:tc>
        <w:tc>
          <w:tcPr>
            <w:tcW w:w="1584" w:type="dxa"/>
          </w:tcPr>
          <w:p w:rsidR="00E91971" w:rsidRPr="00E91971" w:rsidRDefault="00E91971">
            <w:pPr>
              <w:pStyle w:val="a3"/>
              <w:jc w:val="center"/>
            </w:pPr>
            <w:r w:rsidRPr="00E91971">
              <w:t>После</w:t>
            </w:r>
          </w:p>
          <w:p w:rsidR="00E91971" w:rsidRPr="00E91971" w:rsidRDefault="00E91971">
            <w:pPr>
              <w:pStyle w:val="a3"/>
              <w:jc w:val="center"/>
            </w:pPr>
            <w:r w:rsidRPr="00E91971">
              <w:t>лечения</w:t>
            </w:r>
          </w:p>
        </w:tc>
        <w:tc>
          <w:tcPr>
            <w:tcW w:w="897" w:type="dxa"/>
          </w:tcPr>
          <w:p w:rsidR="00E91971" w:rsidRPr="00E91971" w:rsidRDefault="00E91971">
            <w:pPr>
              <w:pStyle w:val="a3"/>
              <w:jc w:val="center"/>
            </w:pPr>
            <w:r w:rsidRPr="00E91971">
              <w:t>Δ, %</w:t>
            </w:r>
          </w:p>
        </w:tc>
        <w:tc>
          <w:tcPr>
            <w:tcW w:w="1677" w:type="dxa"/>
          </w:tcPr>
          <w:p w:rsidR="00E91971" w:rsidRPr="00E91971" w:rsidRDefault="00E91971">
            <w:pPr>
              <w:pStyle w:val="a3"/>
              <w:jc w:val="center"/>
            </w:pPr>
            <w:r w:rsidRPr="00E91971">
              <w:t xml:space="preserve">До </w:t>
            </w:r>
          </w:p>
          <w:p w:rsidR="00E91971" w:rsidRPr="00E91971" w:rsidRDefault="00E91971">
            <w:pPr>
              <w:pStyle w:val="a3"/>
              <w:jc w:val="center"/>
            </w:pPr>
            <w:r w:rsidRPr="00E91971">
              <w:t>лечения</w:t>
            </w:r>
          </w:p>
        </w:tc>
        <w:tc>
          <w:tcPr>
            <w:tcW w:w="1678" w:type="dxa"/>
          </w:tcPr>
          <w:p w:rsidR="00E91971" w:rsidRPr="00E91971" w:rsidRDefault="00E91971">
            <w:pPr>
              <w:pStyle w:val="a3"/>
              <w:jc w:val="center"/>
            </w:pPr>
            <w:r w:rsidRPr="00E91971">
              <w:t>После</w:t>
            </w:r>
          </w:p>
          <w:p w:rsidR="00E91971" w:rsidRPr="00E91971" w:rsidRDefault="00E91971">
            <w:pPr>
              <w:pStyle w:val="a3"/>
              <w:jc w:val="center"/>
            </w:pPr>
            <w:r w:rsidRPr="00E91971">
              <w:t>лечения</w:t>
            </w:r>
          </w:p>
        </w:tc>
        <w:tc>
          <w:tcPr>
            <w:tcW w:w="851" w:type="dxa"/>
          </w:tcPr>
          <w:p w:rsidR="00E91971" w:rsidRPr="00E91971" w:rsidRDefault="00E91971">
            <w:pPr>
              <w:pStyle w:val="a3"/>
              <w:jc w:val="center"/>
            </w:pPr>
            <w:r w:rsidRPr="00E91971">
              <w:t>Δ, %</w:t>
            </w:r>
          </w:p>
        </w:tc>
      </w:tr>
      <w:tr w:rsidR="00E91971" w:rsidRPr="00E91971">
        <w:trPr>
          <w:cantSplit/>
        </w:trPr>
        <w:tc>
          <w:tcPr>
            <w:tcW w:w="2268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КСО, см</w:t>
            </w:r>
            <w:r w:rsidRPr="00E91971">
              <w:rPr>
                <w:vertAlign w:val="superscript"/>
              </w:rPr>
              <w:t>3</w:t>
            </w:r>
          </w:p>
        </w:tc>
        <w:tc>
          <w:tcPr>
            <w:tcW w:w="1630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42,8±2,7</w:t>
            </w:r>
          </w:p>
        </w:tc>
        <w:tc>
          <w:tcPr>
            <w:tcW w:w="1631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40,6±2,7</w:t>
            </w:r>
          </w:p>
        </w:tc>
        <w:tc>
          <w:tcPr>
            <w:tcW w:w="802" w:type="dxa"/>
          </w:tcPr>
          <w:p w:rsidR="00E91971" w:rsidRPr="00E91971" w:rsidRDefault="00E91971">
            <w:pPr>
              <w:pStyle w:val="a3"/>
              <w:spacing w:line="360" w:lineRule="auto"/>
              <w:ind w:left="-108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-4,9</w:t>
            </w:r>
          </w:p>
        </w:tc>
        <w:tc>
          <w:tcPr>
            <w:tcW w:w="1583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49,3±5,0</w:t>
            </w:r>
          </w:p>
        </w:tc>
        <w:tc>
          <w:tcPr>
            <w:tcW w:w="1584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37,2±3,1*</w:t>
            </w:r>
          </w:p>
        </w:tc>
        <w:tc>
          <w:tcPr>
            <w:tcW w:w="897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-24,5</w:t>
            </w:r>
          </w:p>
        </w:tc>
        <w:tc>
          <w:tcPr>
            <w:tcW w:w="1677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35,7±2,9</w:t>
            </w:r>
          </w:p>
        </w:tc>
        <w:tc>
          <w:tcPr>
            <w:tcW w:w="1678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30,8±2,0</w:t>
            </w:r>
          </w:p>
        </w:tc>
        <w:tc>
          <w:tcPr>
            <w:tcW w:w="851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-10,5</w:t>
            </w:r>
          </w:p>
        </w:tc>
      </w:tr>
      <w:tr w:rsidR="00E91971" w:rsidRPr="00E91971">
        <w:trPr>
          <w:cantSplit/>
        </w:trPr>
        <w:tc>
          <w:tcPr>
            <w:tcW w:w="2268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КДО, см</w:t>
            </w:r>
            <w:r w:rsidRPr="00E91971">
              <w:rPr>
                <w:vertAlign w:val="superscript"/>
              </w:rPr>
              <w:t>3</w:t>
            </w:r>
          </w:p>
        </w:tc>
        <w:tc>
          <w:tcPr>
            <w:tcW w:w="1630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123,8±4,7</w:t>
            </w:r>
          </w:p>
        </w:tc>
        <w:tc>
          <w:tcPr>
            <w:tcW w:w="1631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115,9±4,3</w:t>
            </w:r>
          </w:p>
        </w:tc>
        <w:tc>
          <w:tcPr>
            <w:tcW w:w="802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-6,4</w:t>
            </w:r>
          </w:p>
        </w:tc>
        <w:tc>
          <w:tcPr>
            <w:tcW w:w="1583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137,7±7,2</w:t>
            </w:r>
          </w:p>
        </w:tc>
        <w:tc>
          <w:tcPr>
            <w:tcW w:w="1584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115,9±7,0*</w:t>
            </w:r>
          </w:p>
        </w:tc>
        <w:tc>
          <w:tcPr>
            <w:tcW w:w="897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-15,8</w:t>
            </w:r>
          </w:p>
        </w:tc>
        <w:tc>
          <w:tcPr>
            <w:tcW w:w="1677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114,7±4,7</w:t>
            </w:r>
          </w:p>
        </w:tc>
        <w:tc>
          <w:tcPr>
            <w:tcW w:w="1678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102,6±6,3</w:t>
            </w:r>
          </w:p>
        </w:tc>
        <w:tc>
          <w:tcPr>
            <w:tcW w:w="851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-13,5</w:t>
            </w:r>
          </w:p>
        </w:tc>
      </w:tr>
      <w:tr w:rsidR="00E91971" w:rsidRPr="00E91971">
        <w:trPr>
          <w:cantSplit/>
        </w:trPr>
        <w:tc>
          <w:tcPr>
            <w:tcW w:w="2268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ФВ, %</w:t>
            </w:r>
          </w:p>
        </w:tc>
        <w:tc>
          <w:tcPr>
            <w:tcW w:w="1630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62,8±1,9</w:t>
            </w:r>
          </w:p>
        </w:tc>
        <w:tc>
          <w:tcPr>
            <w:tcW w:w="1631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66,4±1,7</w:t>
            </w:r>
          </w:p>
        </w:tc>
        <w:tc>
          <w:tcPr>
            <w:tcW w:w="802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5,8</w:t>
            </w:r>
          </w:p>
        </w:tc>
        <w:tc>
          <w:tcPr>
            <w:tcW w:w="1583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60,9±2,5</w:t>
            </w:r>
          </w:p>
        </w:tc>
        <w:tc>
          <w:tcPr>
            <w:tcW w:w="1584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67,8±1,9*</w:t>
            </w:r>
          </w:p>
        </w:tc>
        <w:tc>
          <w:tcPr>
            <w:tcW w:w="897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11,3</w:t>
            </w:r>
          </w:p>
        </w:tc>
        <w:tc>
          <w:tcPr>
            <w:tcW w:w="1677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64,9±2,3</w:t>
            </w:r>
          </w:p>
        </w:tc>
        <w:tc>
          <w:tcPr>
            <w:tcW w:w="1678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69,5±1,8</w:t>
            </w:r>
          </w:p>
        </w:tc>
        <w:tc>
          <w:tcPr>
            <w:tcW w:w="851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6,6</w:t>
            </w:r>
          </w:p>
        </w:tc>
      </w:tr>
      <w:tr w:rsidR="00E91971" w:rsidRPr="00E91971">
        <w:trPr>
          <w:cantSplit/>
        </w:trPr>
        <w:tc>
          <w:tcPr>
            <w:tcW w:w="2268" w:type="dxa"/>
          </w:tcPr>
          <w:p w:rsidR="00E91971" w:rsidRPr="00E91971" w:rsidRDefault="00E91971">
            <w:pPr>
              <w:rPr>
                <w:sz w:val="28"/>
                <w:szCs w:val="28"/>
                <w:vertAlign w:val="superscript"/>
              </w:rPr>
            </w:pPr>
            <w:r w:rsidRPr="00E91971">
              <w:rPr>
                <w:sz w:val="28"/>
                <w:szCs w:val="28"/>
              </w:rPr>
              <w:t>МО, л/мин</w:t>
            </w:r>
            <w:r w:rsidRPr="00E91971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630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5,31±0,30</w:t>
            </w:r>
          </w:p>
        </w:tc>
        <w:tc>
          <w:tcPr>
            <w:tcW w:w="1631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5,32±0,30</w:t>
            </w:r>
          </w:p>
        </w:tc>
        <w:tc>
          <w:tcPr>
            <w:tcW w:w="802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0,2</w:t>
            </w:r>
          </w:p>
        </w:tc>
        <w:tc>
          <w:tcPr>
            <w:tcW w:w="1583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5,55±0,41</w:t>
            </w:r>
          </w:p>
        </w:tc>
        <w:tc>
          <w:tcPr>
            <w:tcW w:w="1584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5,98±0,43</w:t>
            </w:r>
          </w:p>
        </w:tc>
        <w:tc>
          <w:tcPr>
            <w:tcW w:w="897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7,7</w:t>
            </w:r>
          </w:p>
        </w:tc>
        <w:tc>
          <w:tcPr>
            <w:tcW w:w="1677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5,25±0,31</w:t>
            </w:r>
          </w:p>
        </w:tc>
        <w:tc>
          <w:tcPr>
            <w:tcW w:w="1678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5,21±0,41</w:t>
            </w:r>
          </w:p>
        </w:tc>
        <w:tc>
          <w:tcPr>
            <w:tcW w:w="851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-0,76</w:t>
            </w:r>
          </w:p>
        </w:tc>
      </w:tr>
      <w:tr w:rsidR="00E91971" w:rsidRPr="00E91971">
        <w:trPr>
          <w:cantSplit/>
        </w:trPr>
        <w:tc>
          <w:tcPr>
            <w:tcW w:w="2268" w:type="dxa"/>
          </w:tcPr>
          <w:p w:rsidR="00E91971" w:rsidRPr="00E91971" w:rsidRDefault="00E91971">
            <w:pPr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>УО, мл</w:t>
            </w:r>
          </w:p>
        </w:tc>
        <w:tc>
          <w:tcPr>
            <w:tcW w:w="1630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78,9±4,1</w:t>
            </w:r>
          </w:p>
        </w:tc>
        <w:tc>
          <w:tcPr>
            <w:tcW w:w="1631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76,9±3,8</w:t>
            </w:r>
          </w:p>
        </w:tc>
        <w:tc>
          <w:tcPr>
            <w:tcW w:w="802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-2,5</w:t>
            </w:r>
          </w:p>
        </w:tc>
        <w:tc>
          <w:tcPr>
            <w:tcW w:w="1583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84,4±4,6</w:t>
            </w:r>
          </w:p>
        </w:tc>
        <w:tc>
          <w:tcPr>
            <w:tcW w:w="1584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79,5±5,1</w:t>
            </w:r>
          </w:p>
        </w:tc>
        <w:tc>
          <w:tcPr>
            <w:tcW w:w="897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-5,8</w:t>
            </w:r>
          </w:p>
        </w:tc>
        <w:tc>
          <w:tcPr>
            <w:tcW w:w="1677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80,2±5,9</w:t>
            </w:r>
          </w:p>
        </w:tc>
        <w:tc>
          <w:tcPr>
            <w:tcW w:w="1678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76,1±4,6</w:t>
            </w:r>
          </w:p>
        </w:tc>
        <w:tc>
          <w:tcPr>
            <w:tcW w:w="851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-5,1</w:t>
            </w:r>
          </w:p>
        </w:tc>
      </w:tr>
      <w:tr w:rsidR="00E91971" w:rsidRPr="00E91971">
        <w:trPr>
          <w:cantSplit/>
        </w:trPr>
        <w:tc>
          <w:tcPr>
            <w:tcW w:w="2268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ТМЖП, см (</w:t>
            </w:r>
            <w:r w:rsidRPr="00E91971">
              <w:rPr>
                <w:lang w:val="en-US"/>
              </w:rPr>
              <w:t>dia</w:t>
            </w:r>
            <w:r w:rsidRPr="00E91971">
              <w:t>)</w:t>
            </w:r>
          </w:p>
        </w:tc>
        <w:tc>
          <w:tcPr>
            <w:tcW w:w="1630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1,10±0,03</w:t>
            </w:r>
          </w:p>
        </w:tc>
        <w:tc>
          <w:tcPr>
            <w:tcW w:w="1631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0,96±0,04*</w:t>
            </w:r>
          </w:p>
        </w:tc>
        <w:tc>
          <w:tcPr>
            <w:tcW w:w="802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-12,7</w:t>
            </w:r>
          </w:p>
        </w:tc>
        <w:tc>
          <w:tcPr>
            <w:tcW w:w="1583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1,07±0,04</w:t>
            </w:r>
          </w:p>
        </w:tc>
        <w:tc>
          <w:tcPr>
            <w:tcW w:w="1584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1,01±0,04</w:t>
            </w:r>
          </w:p>
        </w:tc>
        <w:tc>
          <w:tcPr>
            <w:tcW w:w="897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t>-5,6</w:t>
            </w:r>
          </w:p>
        </w:tc>
        <w:tc>
          <w:tcPr>
            <w:tcW w:w="1677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0,99</w:t>
            </w:r>
            <w:r w:rsidRPr="00E91971">
              <w:t>±0,05</w:t>
            </w:r>
          </w:p>
        </w:tc>
        <w:tc>
          <w:tcPr>
            <w:tcW w:w="1678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0,94±0,03</w:t>
            </w:r>
          </w:p>
        </w:tc>
        <w:tc>
          <w:tcPr>
            <w:tcW w:w="851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-5,1</w:t>
            </w:r>
          </w:p>
        </w:tc>
      </w:tr>
      <w:tr w:rsidR="00E91971" w:rsidRPr="00E91971">
        <w:trPr>
          <w:cantSplit/>
        </w:trPr>
        <w:tc>
          <w:tcPr>
            <w:tcW w:w="2268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ТЗСЛЖ, см (</w:t>
            </w:r>
            <w:r w:rsidRPr="00E91971">
              <w:rPr>
                <w:lang w:val="en-US"/>
              </w:rPr>
              <w:t>dia</w:t>
            </w:r>
            <w:r w:rsidRPr="00E91971">
              <w:t>)</w:t>
            </w:r>
          </w:p>
        </w:tc>
        <w:tc>
          <w:tcPr>
            <w:tcW w:w="1630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1,10±0,03</w:t>
            </w:r>
          </w:p>
        </w:tc>
        <w:tc>
          <w:tcPr>
            <w:tcW w:w="1631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1,06±0,04</w:t>
            </w:r>
          </w:p>
        </w:tc>
        <w:tc>
          <w:tcPr>
            <w:tcW w:w="802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-3,6</w:t>
            </w:r>
          </w:p>
        </w:tc>
        <w:tc>
          <w:tcPr>
            <w:tcW w:w="1583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1,12±0,05</w:t>
            </w:r>
          </w:p>
        </w:tc>
        <w:tc>
          <w:tcPr>
            <w:tcW w:w="1584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1,06±0,05</w:t>
            </w:r>
          </w:p>
        </w:tc>
        <w:tc>
          <w:tcPr>
            <w:tcW w:w="897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-5,3</w:t>
            </w:r>
          </w:p>
        </w:tc>
        <w:tc>
          <w:tcPr>
            <w:tcW w:w="1677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1,09±0,06</w:t>
            </w:r>
          </w:p>
        </w:tc>
        <w:tc>
          <w:tcPr>
            <w:tcW w:w="1678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1,06±0,04</w:t>
            </w:r>
          </w:p>
        </w:tc>
        <w:tc>
          <w:tcPr>
            <w:tcW w:w="851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-2,6</w:t>
            </w:r>
          </w:p>
        </w:tc>
      </w:tr>
      <w:tr w:rsidR="00E91971" w:rsidRPr="00E91971">
        <w:trPr>
          <w:cantSplit/>
        </w:trPr>
        <w:tc>
          <w:tcPr>
            <w:tcW w:w="2268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ММЛЖ, г</w:t>
            </w:r>
          </w:p>
        </w:tc>
        <w:tc>
          <w:tcPr>
            <w:tcW w:w="1630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227,2±15,5</w:t>
            </w:r>
          </w:p>
        </w:tc>
        <w:tc>
          <w:tcPr>
            <w:tcW w:w="1631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214,3±13,5</w:t>
            </w:r>
          </w:p>
        </w:tc>
        <w:tc>
          <w:tcPr>
            <w:tcW w:w="802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-5,8</w:t>
            </w:r>
          </w:p>
        </w:tc>
        <w:tc>
          <w:tcPr>
            <w:tcW w:w="1583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233,8±15,6</w:t>
            </w:r>
          </w:p>
        </w:tc>
        <w:tc>
          <w:tcPr>
            <w:tcW w:w="1584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208,6±10,4</w:t>
            </w:r>
          </w:p>
        </w:tc>
        <w:tc>
          <w:tcPr>
            <w:tcW w:w="897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-10,8</w:t>
            </w:r>
          </w:p>
        </w:tc>
        <w:tc>
          <w:tcPr>
            <w:tcW w:w="1677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232,4±8,7</w:t>
            </w:r>
          </w:p>
        </w:tc>
        <w:tc>
          <w:tcPr>
            <w:tcW w:w="1678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200,0±14,8</w:t>
            </w:r>
          </w:p>
        </w:tc>
        <w:tc>
          <w:tcPr>
            <w:tcW w:w="851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-13,9</w:t>
            </w:r>
          </w:p>
        </w:tc>
      </w:tr>
      <w:tr w:rsidR="00E91971" w:rsidRPr="00E91971">
        <w:trPr>
          <w:cantSplit/>
        </w:trPr>
        <w:tc>
          <w:tcPr>
            <w:tcW w:w="2268" w:type="dxa"/>
          </w:tcPr>
          <w:p w:rsidR="00E91971" w:rsidRPr="00E91971" w:rsidRDefault="00E91971">
            <w:pPr>
              <w:pStyle w:val="a3"/>
              <w:spacing w:line="360" w:lineRule="auto"/>
              <w:rPr>
                <w:vertAlign w:val="superscript"/>
              </w:rPr>
            </w:pPr>
            <w:r w:rsidRPr="00E91971">
              <w:t xml:space="preserve">ИММЛЖ, г/м </w:t>
            </w:r>
            <w:r w:rsidRPr="00E91971">
              <w:rPr>
                <w:vertAlign w:val="superscript"/>
              </w:rPr>
              <w:t>2</w:t>
            </w:r>
          </w:p>
        </w:tc>
        <w:tc>
          <w:tcPr>
            <w:tcW w:w="1630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119,8±5,1</w:t>
            </w:r>
          </w:p>
        </w:tc>
        <w:tc>
          <w:tcPr>
            <w:tcW w:w="1631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109,7±6,8</w:t>
            </w:r>
          </w:p>
        </w:tc>
        <w:tc>
          <w:tcPr>
            <w:tcW w:w="802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-8,4</w:t>
            </w:r>
          </w:p>
        </w:tc>
        <w:tc>
          <w:tcPr>
            <w:tcW w:w="1583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124,2±5,2</w:t>
            </w:r>
          </w:p>
        </w:tc>
        <w:tc>
          <w:tcPr>
            <w:tcW w:w="1584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112,2±5,4</w:t>
            </w:r>
          </w:p>
        </w:tc>
        <w:tc>
          <w:tcPr>
            <w:tcW w:w="897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-9,7</w:t>
            </w:r>
          </w:p>
        </w:tc>
        <w:tc>
          <w:tcPr>
            <w:tcW w:w="1677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127,4±8,7</w:t>
            </w:r>
          </w:p>
        </w:tc>
        <w:tc>
          <w:tcPr>
            <w:tcW w:w="1678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107,8±7,4</w:t>
            </w:r>
          </w:p>
        </w:tc>
        <w:tc>
          <w:tcPr>
            <w:tcW w:w="851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-15,3</w:t>
            </w:r>
          </w:p>
        </w:tc>
      </w:tr>
      <w:tr w:rsidR="00E91971" w:rsidRPr="00E91971">
        <w:trPr>
          <w:cantSplit/>
        </w:trPr>
        <w:tc>
          <w:tcPr>
            <w:tcW w:w="2268" w:type="dxa"/>
          </w:tcPr>
          <w:p w:rsidR="00E91971" w:rsidRPr="00E91971" w:rsidRDefault="00E91971">
            <w:pPr>
              <w:ind w:right="-108"/>
              <w:rPr>
                <w:sz w:val="28"/>
                <w:szCs w:val="28"/>
              </w:rPr>
            </w:pPr>
            <w:r w:rsidRPr="00E91971">
              <w:rPr>
                <w:sz w:val="28"/>
                <w:szCs w:val="28"/>
              </w:rPr>
              <w:t xml:space="preserve">ОПСС, </w:t>
            </w:r>
            <w:r w:rsidRPr="00E91971">
              <w:rPr>
                <w:sz w:val="24"/>
                <w:szCs w:val="24"/>
              </w:rPr>
              <w:t>дин*с/см</w:t>
            </w:r>
            <w:r w:rsidRPr="00E91971">
              <w:rPr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630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1712±84</w:t>
            </w:r>
          </w:p>
        </w:tc>
        <w:tc>
          <w:tcPr>
            <w:tcW w:w="1631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1515±81</w:t>
            </w:r>
          </w:p>
        </w:tc>
        <w:tc>
          <w:tcPr>
            <w:tcW w:w="802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-11,5</w:t>
            </w:r>
          </w:p>
        </w:tc>
        <w:tc>
          <w:tcPr>
            <w:tcW w:w="1583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1835±108</w:t>
            </w:r>
          </w:p>
        </w:tc>
        <w:tc>
          <w:tcPr>
            <w:tcW w:w="1584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1448±114*</w:t>
            </w:r>
          </w:p>
        </w:tc>
        <w:tc>
          <w:tcPr>
            <w:tcW w:w="897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-21,1</w:t>
            </w:r>
          </w:p>
        </w:tc>
        <w:tc>
          <w:tcPr>
            <w:tcW w:w="1677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1924±105</w:t>
            </w:r>
          </w:p>
        </w:tc>
        <w:tc>
          <w:tcPr>
            <w:tcW w:w="1678" w:type="dxa"/>
          </w:tcPr>
          <w:p w:rsidR="00E91971" w:rsidRPr="00E91971" w:rsidRDefault="00E91971">
            <w:pPr>
              <w:pStyle w:val="a3"/>
              <w:spacing w:line="360" w:lineRule="auto"/>
            </w:pPr>
            <w:r w:rsidRPr="00E91971">
              <w:t>1516±115*</w:t>
            </w:r>
          </w:p>
        </w:tc>
        <w:tc>
          <w:tcPr>
            <w:tcW w:w="851" w:type="dxa"/>
          </w:tcPr>
          <w:p w:rsidR="00E91971" w:rsidRPr="00E91971" w:rsidRDefault="00E91971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E91971">
              <w:rPr>
                <w:sz w:val="26"/>
                <w:szCs w:val="26"/>
              </w:rPr>
              <w:t>-21,2</w:t>
            </w:r>
          </w:p>
        </w:tc>
      </w:tr>
    </w:tbl>
    <w:p w:rsidR="00E91971" w:rsidRDefault="00E91971">
      <w:pPr>
        <w:keepNext/>
        <w:jc w:val="both"/>
        <w:rPr>
          <w:sz w:val="28"/>
          <w:szCs w:val="28"/>
        </w:rPr>
        <w:sectPr w:rsidR="00E91971">
          <w:type w:val="oddPage"/>
          <w:pgSz w:w="16840" w:h="11907" w:orient="landscape"/>
          <w:pgMar w:top="1797" w:right="1440" w:bottom="1797" w:left="1440" w:header="720" w:footer="720" w:gutter="0"/>
          <w:cols w:space="720"/>
        </w:sectPr>
      </w:pPr>
    </w:p>
    <w:p w:rsidR="00E91971" w:rsidRDefault="00E91971">
      <w:pPr>
        <w:keepNext/>
        <w:tabs>
          <w:tab w:val="center" w:pos="1985"/>
        </w:tabs>
        <w:spacing w:before="120" w:line="360" w:lineRule="auto"/>
        <w:ind w:firstLine="720"/>
        <w:jc w:val="both"/>
      </w:pPr>
      <w:bookmarkStart w:id="0" w:name="_GoBack"/>
      <w:bookmarkEnd w:id="0"/>
    </w:p>
    <w:sectPr w:rsidR="00E91971">
      <w:pgSz w:w="11906" w:h="16838"/>
      <w:pgMar w:top="1134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19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1A6E91"/>
    <w:multiLevelType w:val="singleLevel"/>
    <w:tmpl w:val="0FF0E50C"/>
    <w:lvl w:ilvl="0">
      <w:start w:val="1"/>
      <w:numFmt w:val="decimal"/>
      <w:lvlText w:val="%1."/>
      <w:lvlJc w:val="left"/>
      <w:pPr>
        <w:tabs>
          <w:tab w:val="num" w:pos="1891"/>
        </w:tabs>
        <w:ind w:left="1891" w:hanging="360"/>
      </w:pPr>
      <w:rPr>
        <w:rFonts w:hint="default"/>
      </w:rPr>
    </w:lvl>
  </w:abstractNum>
  <w:abstractNum w:abstractNumId="2">
    <w:nsid w:val="680B41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7B787D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F2E"/>
    <w:rsid w:val="00026085"/>
    <w:rsid w:val="00817BBD"/>
    <w:rsid w:val="00A42F2E"/>
    <w:rsid w:val="00E9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ADF1601-E4A8-4457-A175-FE8E7E6F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72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center" w:pos="3828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keepNext/>
      <w:keepLines/>
      <w:jc w:val="center"/>
    </w:pPr>
    <w:rPr>
      <w:b/>
      <w:bCs/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pPr>
      <w:keepNext/>
      <w:keepLines/>
      <w:jc w:val="both"/>
    </w:pPr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  <w:szCs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34">
    <w:name w:val="Основний текст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keepNext/>
      <w:tabs>
        <w:tab w:val="center" w:pos="3828"/>
      </w:tabs>
      <w:spacing w:before="120" w:line="360" w:lineRule="auto"/>
      <w:ind w:firstLine="720"/>
      <w:jc w:val="both"/>
    </w:pPr>
    <w:rPr>
      <w:b/>
      <w:bCs/>
      <w:sz w:val="28"/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pPr>
      <w:keepNext/>
      <w:tabs>
        <w:tab w:val="left" w:pos="426"/>
        <w:tab w:val="left" w:pos="851"/>
        <w:tab w:val="center" w:pos="3828"/>
      </w:tabs>
      <w:spacing w:before="120" w:line="360" w:lineRule="auto"/>
      <w:ind w:firstLine="720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КЛИНИЧЕСКИЕ ПРОЯВЛЕНИЯ И ПРОБЛЕМЫ МЕДИКАМЕНТОЗНОЙ КОРРЕКЦИИ МЕТАБОЛИЧЕСКОГО СИНДРОМА Х</vt:lpstr>
    </vt:vector>
  </TitlesOfParts>
  <Company>Home Computer</Company>
  <LinksUpToDate>false</LinksUpToDate>
  <CharactersWithSpaces>20307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КЛИНИЧЕСКИЕ ПРОЯВЛЕНИЯ И ПРОБЛЕМЫ МЕДИКАМЕНТОЗНОЙ КОРРЕКЦИИ МЕТАБОЛИЧЕСКОГО СИНДРОМА Х</dc:title>
  <dc:subject/>
  <dc:creator>Khrulenko AB</dc:creator>
  <cp:keywords/>
  <dc:description/>
  <cp:lastModifiedBy>Irina</cp:lastModifiedBy>
  <cp:revision>2</cp:revision>
  <dcterms:created xsi:type="dcterms:W3CDTF">2014-08-16T19:33:00Z</dcterms:created>
  <dcterms:modified xsi:type="dcterms:W3CDTF">2014-08-16T19:33:00Z</dcterms:modified>
</cp:coreProperties>
</file>