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E0" w:rsidRPr="00344523" w:rsidRDefault="00194DE0" w:rsidP="00194DE0">
      <w:pPr>
        <w:spacing w:before="120"/>
        <w:jc w:val="center"/>
        <w:rPr>
          <w:b/>
          <w:bCs/>
          <w:sz w:val="32"/>
          <w:szCs w:val="32"/>
        </w:rPr>
      </w:pPr>
      <w:r w:rsidRPr="00344523">
        <w:rPr>
          <w:b/>
          <w:bCs/>
          <w:sz w:val="32"/>
          <w:szCs w:val="32"/>
        </w:rPr>
        <w:t>Глобализация: смена политических акторов и типа управления</w:t>
      </w:r>
    </w:p>
    <w:p w:rsidR="00194DE0" w:rsidRPr="00344523" w:rsidRDefault="00194DE0" w:rsidP="00194DE0">
      <w:pPr>
        <w:spacing w:before="120"/>
        <w:jc w:val="center"/>
        <w:rPr>
          <w:sz w:val="28"/>
          <w:szCs w:val="28"/>
        </w:rPr>
      </w:pPr>
      <w:r w:rsidRPr="00344523">
        <w:rPr>
          <w:sz w:val="28"/>
          <w:szCs w:val="28"/>
        </w:rPr>
        <w:t>Казаринова Д.Б.</w:t>
      </w:r>
    </w:p>
    <w:p w:rsidR="00194DE0" w:rsidRPr="00344523" w:rsidRDefault="00194DE0" w:rsidP="00194DE0">
      <w:pPr>
        <w:spacing w:before="120"/>
        <w:jc w:val="center"/>
        <w:rPr>
          <w:b/>
          <w:bCs/>
          <w:sz w:val="28"/>
          <w:szCs w:val="28"/>
        </w:rPr>
      </w:pPr>
      <w:r w:rsidRPr="00344523">
        <w:rPr>
          <w:b/>
          <w:bCs/>
          <w:sz w:val="28"/>
          <w:szCs w:val="28"/>
        </w:rPr>
        <w:t>Глобализация в современном политологическом дискурсе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Термин “глобализация” прочно вошел в научный и политический оборот, однако понимается он по-разному. Чаще всего глобализацию связывают с качественно новыми уровнями интегрированности, целостности и взаимозависимости мира, хотя это всего лишь часть более сложной и противоречивой картины.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Многие авторы, посвятившие труды проблеме глобализации, указывают на неточность самого этого термина. В самом деле, если и можно говорить о движении современного мира ко все большей целостности, то назвать эту тенденцию всеобщей и единственной никак нельзя. В настоящей работе об этом речь не идет. Но некоторые ученые крайне критично относятся к глобализации, говоря, что “слухи о глобализации сильно преувеличены”. Кроме того, вызывает возражения взгляд на глобализацию как на безальтернативный процесс или, по меньшей мере, доминирующую тенденцию. Они указывают на противонаправленные глобализации или параллельные ей процессы: экономическую и социальную демодернизацию, культурную фрагментацию и сегментацию (см.: Этос глобального мира, 1999). У многих также вызывает отторжение достаточно агрессивно пропагандируемая идеология глобализации.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Фундаментом экспансии мирового общества на международное сообщество служили как материальные, так и виртуальные новации, обобщаемые в политологическом дискурсе расплывчатым и неточным словом “глобализация”. В литературе 90-х гг. оно, по мнению российского исследователя А.Батурова, в различных сочетаниях обозначало по меньшей мере восемь основных тенденций и явлений: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1) объективное усиление проницаемости межгосударственных перегородок (феномены “преодоления границ” и “экономического гражданства”);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2) резкое возрастание объемов и интенсивности трансгосударственных, транснациональных перетоков капиталов, информации, услуг и человеческих ресурсов;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3) массированное распространение западных стандартов потребления, быта, само– и мировосприятия на все другие части планеты;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4) усиление роли вне-, над-, транс– и просто негосударственных регуляторов мировой экономики и международных отношений;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5) форсированный экспорт и вживление в политическую ткань разных стран мира тех или других вариаций модели демократического государственного устройства;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 xml:space="preserve">6) формирование виртуального пространства электронно-коммуникационного общения, резко увеличивающего возможности для социализации личности, то есть для непосредственного приобщения индивида (пассивно или интерактивно), где бы тот ни находился, к общемировым информационным процессам; [c.161] 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7) возникновение и культивирование в сфере глобальных информационных сетей образа ответственности всех и каждого индивида за чужие судьбы, проблемы, конфликты, состояние окружающей среды, политические и иные события в любых, возможно, даже неизвестных человеку уголках мира;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8) возникновение “идеологии глобализации” как совокупности взаимосвязанных постулатов, призванных обосновать одновременно благо и неизбежность тенденций, “работающих” на объединение мира под руководством его цивилизованного центра, под которым так или иначе подразумеваются США и “группа семи” (Богатуров, 1999, с. 32).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Глобализацию можно представить в трех измерениях: 1) как объективную тенденцию мирового экономического, социального, политического и культурного развития; 2) как цель, выдвигаемую политическим руководством государств мира; 3) как методологию анализа развития стран и международных отношений – и не только анализа, но и выработки стратегии на государственном уровне, а также на уровне предприятий, имеющих стабильные интересы за пределами национальной экономики.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Как объективная тенденция глобализация отражает растущую взаимозависимость различных секторов мировой экономики, в результате чего развитие и стабильность одной национальной экономики становятся невозможными без развития и стабильности других.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Как цель глобализация представляет собой сознательную политику государств, укрепляющую интеграционную сплоченность мира и в итоге ведущую к возникновению единой мировой экономики. Пока вопрос ставится таким образом только в научных дискуссиях, а не на государственном уровне. Тем не менее перед мировым сообществом уже встает задача выработать разумный подход к глобализации, создать взаимовыгодные механизмы управления этой тенденцией, сформулировать свои национальные интересы и понять место своей страны в этом процессе.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Как методология концепция глобализации дает аналитикам, хозяйственникам и политикам новую основу, позволяющую яснее понять, в каком направлении развиваются международные отношения, в каком состоянии находится экономика страны или отдельного предприятия, положительные и отрицательные последствия для международной безопасности, экономического развития государства или корпорации (Богатуров, 1999, с. 50).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 xml:space="preserve">Простой обзор проявлений глобализации позволяет подразделить их на материальные (объективные) и виртуальные (манипуляционные). К первым относится все, что касается реального движения финансовых потоков и его обеспечения, трансферта технологий, товаров и услуг, массовых миграций, строительства глобальных информационных сетей и т. п. Ко вторым – содержательное наполнение этих сетей, распространение определенных ценностей и оценочных стандартов, формирование и продвижение предназначенных международному общественному мнению психологических и политико-психологических установок. Очевидно, глобализация – это не только то, что существует на самом деле, но и то, что людям предлагают думать и что они думают о происходящем и его перспективах. [c.162] 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Последнее уточнение важно. В самом деле, если материальные проявления глобализации не вызывают сомнений, так как их ежечасно подтверждает жизненная практика, то ряд “выводов”, формально апеллирующих к материальной стороне глобализации, не кажутся ни безупречными, ни единственно возможными вариантами понимания действительности. Во всяком случае, в той мере, в какой позволяют судить опыт и анализ ситуации на пространстве новых государств в зоне бывшего СССР, и в частности в России. К такому же эффекту приводят и размышления о необходимости анализировать международные отношения выходя за рамки системного взгляда на реальность.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Целесообразным представляется остановиться на трех проблемах теории глобализации, кажущихся приоритетными и в то же время наиболее дискуссионными: кризис и устаревание государства; модернизация и вестернизация как естественный результат; “демократическая однополярность” как предпочтительный способ самоорганизации международной структуры.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Сдвиг к ценностям постмодерна, обусловленный государством благосостояния и убыванием отдачи экономического роста и знаменующий упадок протестантской этики, спровоцировал (по Р.Инглхарту) изменение передовыми индустриальными странами своих социально-политических траекторий в двух кардинально важных отношениях: системе ценностей и институциональной структуре. Здесь идет речь о пределах развития иерархических бюрократических организаций, способствовавших созданию современного общества. “Бюрократическое государство, дисциплини-рованная олигархическая политическая партия, сборочная линия массового производства, профсоюз старого образца и иерархическая корпорация сыграли неимоверно важную роль в мобилизации и организации энергии масс людей; они сделали возможными промышленную революцию и современное государство. Но они подошли к поворотному пункту – по двум причинам: во-первых, они приближаются к пределам своей функциональной эффективности; а во-вторых – к пределам их массового приятия” (Инглхарт, 1997, с. 10).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В условиях перехода развитых западных обществ к постмодерну, в странах ЦВЕ и прежде всего в СССР гипертрофированная бюрократия парализовала адаптационные и инновационные процессы. Проявления убывающей эффективности иерархических, централизованных бюрократических институтов можно видеть на всем пространстве индустриального общества. Одна причина упадка классических бюрократических институтов индустриального общества состоит в том, что они по своей внутренней сути менее эффективны в обществах высоких технологий с высокоспециализированной рабочей силой, чем на первых стадиях индустриального общества. Но другая причина – в том, что они также стали менее приемлемы для людей в обществе постмодерна с их изменившимися ценностями.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Можно высказать ряд положений, подтверждающих изменение роли государства в сторону ее минимизации. Во-первых, нужно ли государство в условиях, когда каждый гражданин в отдельности может напрямую обратиться для защиты своих интересов в международные правозащитные, судебные и другие органы – от Международной амнистии до Международного суда. Во-вторых, в стабильной Западной Европе убедительно звучат слова о необходимости защищать не всесильное государство от людей, а наоборот. В-третьих, [c.163] надгосударственные и трансгосударственные субъекты (международные финансовые институты и ТНК) действительно обладают ресурсами, которые намного превосходят возможности большинства государств. Поэтому их суверенитет, во всяком случае экономический, становится фиктивным. Наконец, в-четвертых, как отмечают исследователи, “обычное” государство не способно регулировать межэтнические отношения, которые успешнее разрешимы в рамках надгосударственных общностей. Но там, где ситуация нестабильна и опасна, у идеи отмирания государства нет прочной основы, поскольку ослабление государственного начала в нестабильных обществах грозит распадом страны.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В современном мире четко прослеживаются амбивалентные процессы. С одной стороны, ХХI век единодушно отождествляют с дальнейшим расширением и слиянием мировых рынков капитала, информации и услуг, с еще большим усилением экономической взаимозависимости, с растущими возможностями передвижения и общения людей. С другой – речь идет о растущем разрыве в уровнях благосостояния развитых и отстающих стран; больше того, финансовый кризис, потрясший два года назад Юго-Восточную Азию, показал, что даже страны, которые в 80-е годы, казалось, резким рывком приблизились к ведущим экономическим державам мира, уязвимы перед стихией глобального рынка.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Дебаты о глобализации принимают наиболее острые формы, именно когда речь заходит о судьбах национального государства. Никто не отваживается прямо утверждать, будто уменьшение роли национального государства – к лучшему, но по логике дискурса получается, что оптимизм по отношению к перспективам экономической глобализации чаще всего сочетается с пессимистическим взглядом на будущее национального государства. Основной интенцией выступает сужение компетенции национального государства.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Однако масштабы этого явления оцениваются по-разному. Возможно рассмотрение национальных государств в качестве “приводных ремней” глобального хозяйства, а в мировом масштабе функционально уподобляются муниципалитетам, поддерживающим необходимую бизнесу инфраструктуру (Cox, 1996, р. 302; Hirst, Thompson, 1995, р. 414). Существует и противоположное мнение (примером которого может служить высказывание ученого Р.Кили), что “рост могущества ТНК привел к появлению новой глобальной экономики, в которой национальное государство не только теряет свое могущество, но и становится анахронизмом” (Kiely, 1998, p.97). Насколько реально страдает государственный суверенитет, и застопорится ли этот процесс или будет продолжаться до своего логического завершения, то есть до превращения национального государства в некий символ, присутствующий лишь на картах административного деления мира – вот вопрос, на который ищут ответ все политологи, занимающиеся проблемой “размывания” государства.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В ответах на эти вопросы наибольшей радикальностью позиций среди адептов глобализации выделяется один из ведущих в мире специалистов по стратегии бизнеса Кеничи Омаэ, автор книг “Мир без границ” и “Конец национального государства” (см.: Ohmae, 1990; Ohmae, 1995). Вторая книга Омаэ – это манифест подчинения государственной власти интересам международного бизнеса, Государство, полагает К.Омаэ, превращается в “ностальгическую [c.164] фикцию”: оно, может быть, и сохраняет известный политический смысл, но полностью девальвируется с точки зрения экономики (Ohmae, 1995, р.12). Автор предлагает отказаться от “картографических иллюзий” и смириться с неизбежностью размывания экономических границ под воздействием четырех факторов, или “четырех И”: Инвестиций, Индустрии, Информационных технологий и Индивидуального потребления (понятие “индустрия” призвано обозначить экспансию транснациональных корпораций и присутствует здесь только благодаря своей первой букве).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Основные возражения высказываниям автора вызваны тем, что мерилом слабости национального государства К.Омаэ считает силу транснационального бизнеса; из этого должно было бы следовать и обратное: силе государства соответствует слабость ТНК и мировых рынков. Следует указать на спорность такого подхода (“или-или”) (см.: Sassen, 1996, р. 28-29). Речь должна скорее идти о том, что функции государства в условиях глобализации видоизменяются: оно частично утрачивает прежние функции регулятора экономической жизни, но сохраняет контроль над территорией и населением в том, что касается соблюдения законопорядка, нерушимости границ, паспортного и визового режимов, сбора налогов и т. д. Примером этого может служить мнение, высказанное М. Рогальски: “На деле происходит не ослабление государств, а изменение государственных функций; государство все чаще играет ведущую роль в адаптации национальной производственной системы к требованиям международной конкуренции” (Rogalski, 1997, p. 15).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Логически возникают вопросы: корректно ли вообще сопоставлять объем прерогатив национального государства как институциональной формы политической власти на четко ограниченной территории с финансовым и экономическим могуществом транснациональных фирм и рынков, не знающего территориальных границ и, если можно, то с помощью каких методов? Государственные институты и международные экономические отношения до сих пор эволюционировали в форме параллельных и взаимодополняющих процессов.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 xml:space="preserve">Если рассматривать глобализацию в рамках развития мировой системы капитализма, то наблюдающееся в наши дни ослабление суверенитета национальных государств в экономической сфере предстает лишь фазой этого развития, в которой реализуются неолиберальные идеи. Американский социолог Филип Макмайкл, к примеру, считает глобализированное развитие новой формой стабилизации капитализма, которая в 80-х годах сменила прежнюю модель развития, основанную на делении человечества на Первый, Второй и Третий миры (см.: МсМichael, 1996, р. 25-61). Некоторые исследователи вообще видят в глобализации побочный эффект политики хозяйственной дерегуляции, которую государства проводят ради более экономного расходования бюджетных средств на социальные программы (Scott, 1997). Действительно, при одних обстоятельствах национальные государства сознательно и целенаправленно увеличивают социальные издержки, а при других – сокращают их. Поэтому, если участие государства в экономике ослабевает, а собираемость налогов снижается, это свидетельствует скорее лишь об ослаблении хозяйственной роли данного государства в данной конкретной исторической ситуации, а не об ограничении суверенитета национального государства как такового. [c.165] 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В этом контексте возникают два ключевых вопроса: 1) не разрушает ли государство таким образом самое себя? 2) где пределы подобного саморазрушения? Ответ кажется очевидным: в коллапсе государства заинтересован транснацио-нальный капитал. Однако даже апологеты глобализации понимают, что и национальный, и транснациональный капитал нуждаются в использовании государственных институтов и норм. Даже К.Омаэ, выступающий за “регионы-государства” как локомотивы экономического прогресса, которые тянут за собой другие внутринациональные территории, допускает: если центральные власти будут проводить правильную политику (создавать наилучшие возможности ради получения максимальной общей выгоды), продвинутые регионы вполне могут стать “лучшими друзьями национальных государств” (Ohmae, 1995, р. 100).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Профессор Биркбекского колледжа Лондонского университета Пол Херст и главный редактор журнала “Economy and Society” Грэм Томпсон подчеркивают, что большинство ТНК располагают базами в национальных экономиках и потому напрямую зависят от национальных государств. Сколь бы глобальными ни были их операции, эти корпорации не в состоянии создать все необходимые им условия (например, социальные, правовые и т.д.) внутри страны. Более того, чем шире экспансия ТНК в другие суверенные государства, тем сильнее корпорации зависят от согласия заинтересованных стран в вопросе о целях, нормах и принципах управления международным бизнесом.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Р.Инглхарт отмечает, что одним из самых поразительных феноменов последних двух столетий было стремительное расширение пределов управления. Индустриальные общества становились все более централизованными, иерархичными и бюрократизированными. До недавнего времени высокоцентра-лизованные, управляемые государством хозяйственные системы и общества казались логическим завершением, к которому устремлена модернизация. Но в течение 1980-х гг. дальнейшая экспансия государства достигла точки убывания отдачи – как в функциональном отношении, так и в смысле массового приятия. Сначала они натолкнулись на растущую политическую оппозицию на Западе, а затем последовал ее полный крах в восточном блоке.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 xml:space="preserve">Массовое производство на линии поточной сборки и массовое бюрократическое производство являлись двумя ключевыми организационными инструментами индустриального общества, которые в начальной фазе модернизации приносили высокую отдачу, позволяя фабрикам производить миллионы вещей, а правительствам – обрабатывать миллионы индивидов посредством стандартизированных рутинных процедур во всех сферах общества. Но тенденция к бюрократизации, централизации, а также к государственной собственности и контролю обратилась вспять. “Современные хозяйственные системы теряют свою эффективность, когда общественный сектор становится подавляющим. А общественное доверие к иерархическим институтам убывает, сходя на нет на всем пространстве передового индустриального общества” (Инглхарт, 1997, с. 12). 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Этому вопросу посвящен последний по времени доклад Римскому клубу, занимающемуся глобальными проблемами человечества, – “Способность управлять”. До сих пор правительства были вовлечены в решение глобальных [c.166] проблем лишь отчасти. В докладе приводится довод о том, что именно сейчас необходимы немедленные радикальные изменения ключевых аспектов управления. Современная политическая философия, по мнению автора доклада И.Дрора, до сих пор не смогла предложить адекватное решение сложных проблем, с которыми столкнулось человечество, таких, например, как “мировое равенство”.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Интересы человечества являются здесь новой важной концепцией, которая понимается как новая конструктивная замена интересов государства. Человечество в этой концепции предстает как единое целое со своими потребностями и запросами, которые должны продвигаться органами управления на всех уровнях как одна из основных задач, а также устанавливает безусловные моральные императивы, связывающие все формы управления.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Результатом глобальных изменений стали многие проблемы управления, требующие фундаментального пересмотра, например, проблема прав человека, культурного плюрализма, солидарности. В изменившейся социально-экономической (новая экономика и новый социальный порядок) и культурной среде (смена ценностей и идеологий), носящей вполне непредсказуемый характер, необходимо находить адекватные политические решения. Иезекиль Дрор делает неутешительный вывод: “Ни одно из существующих правительств не готово к подобным неожиданным радикальным переменам” (Дрор, 1996, с. 7).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Правительства зачастую оказываются в политическом тупике из-за того, что даже в современных демократических обществах на них оказывают сильное давление в поддержку недальновидных действий, которые в долговременной перспективе могут иметь серьезные последствия. Многие развивающиеся страны попадают в безвыходную ситуацию под давлением таких международных институтов как МВФ и Всемирный банк, осуществляя политику, не удовлетворяющую собственным интересам. Следовательно, необходима адаптация внеположенных идей и институтов к местной политической культуре.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 xml:space="preserve">Но некоторые общие элементы политической культуры должны быть развиты везде, чтобы служить базисом для глобального управления и продвижения интересов человечества во все более интегрирующемся мире. И.Дрор не делает акцент на том, какими именно должны быть эти элементы, для него это скорее всего очевидно – западные. Однако необходимо найти некий компромисс ценностей с тем, чтобы они были адекватно и глубоко восприняты всем многообразием политических культур. Глобальная перестройка подразумевает, что правительства будут постоянно сталкиваться с вопросами ценностных ориентаций, касающихся глобальной справедливости, окружающей среды, общества; они должны быть уполномочены принимать ответственные решения в соответствии с согласованными правилами и признанными этическими приоритетами. Все меры, предлагаемые для достижения идеала нового управления, сводятся к следующему: 1) расширение и углубление системы международного законодательства, в том числе и уголовного; 2) усиление глобального управления через создание соответствующих наднациональных институтов, а также 3) соответствующее “воспитание” новых политических элит, политическое мышление которых должно полностью охватывать юридические вопросы, учреждения и ресурсы, а также оставлять место для осуществления больших проектов на долгосрочную общечеловеческую перспективу. [c.167] 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Главной же особенностью предполагаемого будущего управления станет “управление без управляющих”. В пользу этого утверждения ученые приводят следующие доводы. Две мировые войны поставили государства перед необходимостью безотлагательно создать наднациональные, надрегиональные и надблоковые системы управления, каковыми сначала была Лига Наций, а затем ООН. Неспособность этих организаций обеспечить международную безопасность в разделенном мире постоянно подталкивала социальную и политическую мысль к поиску принципов и формул более совершенного мирового порядка. После Второй мировой войны многие ученые полагали, что для решения этой проблемы необходимо прежде всего усовершенствовать деятельность ООН как органа, “правящего” наподобие некого “мирового правительства”.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Со временем становилось все яснее, что подобное “правление”, одновременно централизованное и консенсусное, воплотить в жизнь невозможно. Проблему начали формулировать иначе: как необходимость создать систему “управления” отдельными сферами международной жизни в качестве более мягкой формы принятия решений, взаимоприемлемых для национальных государств. Так возможно ли управление без управляющих? В таком случае было бы бесполезно действовать только через правительственные органы, обязанные стоять на страже официально декларируемых национальных интересов. В действительности современному миру свойственна множественность уровней и типов управления, которая отлична и от моделей принятия решений международными организациями, и от простого диктата мирового рынка. В этом мире, по мнению Херста и Томпсона, управление вбирает в себя все имеющиеся институты и практические функции: общественные и частные, государственные и негосударственные, национальные и интернациональные; но при этом национальное государство по-прежнему играет постоянную и важную роль связующего звена между действующими лицами мировой политики. Оно устраняет расхождения между ними, ибо вправе делегировать часть своих функций как международному сообществу (вверх), так и субнациональным структурам (вниз).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По мысли авторов, управление возможно на пяти уровнях – от международного до локально-регионального – посредством: соблюдения межгосударственных соглашений, особенно между странами Европы, Северной Америки и Японией; усилий значительного числа государств, создающих международные регулирующие организации типа ВТО или ГАТТ; региональных торгово-экономических ассоциаций и союзов вроде ЕС и НАФТА; использования национальных рычагов и институтов типа Ассоциации Рэнд (Research and Development – REND) в США; проведения внутригосударственной региональной политики для развития местных промышленных центров. Такая система управления, подчеркивают Хёрст и Томпсон, отвечает интересам большого и малого бизнеса, активно внедряющегося на мировые рынки, где им больше всего нужны стабильность и безопасность (Hirst, Thompson, 1995, р. 429-430).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Сочленить все эти уровни способно только национальное государство, ибо лишь оно в той или иной форме присутствует на каждом из них. Поэтому некоторые схемы глобального управления (например, руководителя Института развития и мира при Дуйсбургском университете Д. Месснера) ставят национальное государство [c.168] в центр мировых связей. Месснер видит в нем средоточие отношений между всеми политическими акторами международного сообщества: ООН и ее различными учреждениями, региональными союзами, субнациональными (локальными) органами, многонациональными концернами, банками, неправительственными организациями, средствами массовой информации, различными группами интересов, научными центрами и т. д. Их скоординированные усилия следует направлять на решение четырех главных задач управления в процессе глобализации: определение рамок мирового порядка, в котором международный бизнес не “приватизировал” бы политику; более эффективное, чем прежде, реагирование на глобальные вызовы (загрязнение окружающей среды, массовые миграции, торговля оружием и др.); формирование “глобальной правовой государственности” на основе западных традиций правового государства; использование принципов управления при решении национальными государствами региональных и локальных проблем (см.: Messner, 1999, р. 10-13).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Одновременно исследователи отмечают “дефицит демократического контроля” в деятельности международных организаций и не видят реальной возможности добиться, чтобы они стали подотчетны национальным гражданским обществам (Keohane, 1998, р. 92-94). Интерпретация этой максимы весьма прозрачна. Немецкий политолог Франц Нушелер обращает внимание на противоречие между “глобальным управлением” и “сверхдержавным управлением” (Nuscheler, 1998), а американский политолог Стивен Уолт указывает, что в последнее десятилетие Соединенным Штатам настолько понравилось быть “номером один” в мировой политике, что теперь они исполнены решимости сохранить за собой это место (Walt, 1998, р. 43). “Определения “международный” и “транснациональный” стали в последнее время означать “американизированный””, – прямо заявляют многие публицисты и политики. Кстати, вероятно, не случайно понятие “всемирное правление” (world government) включено в словник “Энциклопедии Американа”, но отсутствует в “Энциклопедии Британника”. Поэтому, говоря об упадке национального государства и необходимости глобального управления с его участием, следует видеть, что эту проблему целесообразно обсуждать с точки зрения не только “чистой” теории, оперирующей категориями и понятиями, но и реальной политики, где весь мир – (по удачному выражению З. Бжезинского) огромная “шахматная доска”, а игроки преследуют свои собственные, вовсе не абстрактные интересы.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 xml:space="preserve">В науке давно известен парадокс: с увеличением объема знаний о предмете возрастает количество публикаций о нем. В полной мере это относится к проблемам глобализации, “размывания” национального государства, нового управления, смены политических акторов различного уровня, смены политических акторов различного уровня. Новые тенденции, которые только нарождаются в мире, но уже стали неоспоримой реальностью, требуют их концептуализации . В настоящей статье сделана попытка разобраться в этих вопросах и выявить некоторые, кажущиеся приоритетными, направления того огромного количества исследований, относящихся к сравнительно новому направлению политической мысли – глобалистике. [c.169] </w:t>
      </w:r>
    </w:p>
    <w:p w:rsidR="00194DE0" w:rsidRPr="00344523" w:rsidRDefault="00194DE0" w:rsidP="00194DE0">
      <w:pPr>
        <w:spacing w:before="120"/>
        <w:jc w:val="center"/>
        <w:rPr>
          <w:b/>
          <w:bCs/>
          <w:sz w:val="28"/>
          <w:szCs w:val="28"/>
        </w:rPr>
      </w:pPr>
      <w:r w:rsidRPr="00344523">
        <w:rPr>
          <w:b/>
          <w:bCs/>
          <w:sz w:val="28"/>
          <w:szCs w:val="28"/>
        </w:rPr>
        <w:t>Список литературы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Богатуров А. Синдром поглощения в международной политике // Pro et Contra. – 1999. – Т. 4. – № 4.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Дрор И. Способность управлять. Резюме доклада Римскому клубу // Глобальное управление для устойчивого развития. – Новосибирск, 1996.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Инглхарт Р. Постмодерн: меняющиеся ценности и изменяющиеся общества // Полис. – 1997. – №4.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Этос глобального мира / Сост. и ред. В.И.Толстых. – М., 1999.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Cox R.W. Global perestroika // Approaches to World Order / R.W. Cox, T.J. Sinclair (eds.). – Cambridge, 1996.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Hirst P., Thompson G. Globalization and the Future of the Nation State // Economy and Society. – 1995. – Vol. 24. – № 3.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Keohane R.O. International Institutions: Can Interdependence Work? // Foreign Policy. – 1998, Spring. – № 110.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Kiely R. Globaliztion, post-Fordism and the contemporary context of development // International Sociology. – 1998. № 1.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MсМichael Ph. Globalization: Myths and Realities // Rural Sociology. – 1996. – Vol. 61. – № 1.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Messner D. Globalisierung, Global Governance und Entwicklungspolitik // Politik und Gesellschaft. – 1999. – № 1.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Nuscheler F. Global Governance versus Superpower Governance // Internationale Politik. – 1998. – № 11.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Ohmae K. The Borderless World: Power and Strategy in the Interlinked Economy. – N.Y., 1990.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Ohmae K. The End of the Nation State: The Rise of Regional Economies. – L., 1995.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Rogalski M. Mondialisation: Presentation et remarques complementaires // Pensee. – 1997. – № 309.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Sassen S. Losing Control?: Sovereignty in an Age of Globalization. – N.Y., 1996.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>Scott A. Globalization: Social Process or Political Rhetoric? // The Limits of Globalization: Cases and Arguments. – L.; N.Y., 1997.</w:t>
      </w:r>
    </w:p>
    <w:p w:rsidR="00194DE0" w:rsidRPr="00FD5458" w:rsidRDefault="00194DE0" w:rsidP="00194DE0">
      <w:pPr>
        <w:spacing w:before="120"/>
        <w:ind w:firstLine="567"/>
        <w:jc w:val="both"/>
      </w:pPr>
      <w:r w:rsidRPr="00FD5458">
        <w:t xml:space="preserve">Walt S.M. International Relations: One World, Many Theories // Foreign Policy. – 1998, Spring. – № 110.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DE0"/>
    <w:rsid w:val="00051FB8"/>
    <w:rsid w:val="00095BA6"/>
    <w:rsid w:val="00194DE0"/>
    <w:rsid w:val="00210DB3"/>
    <w:rsid w:val="0031418A"/>
    <w:rsid w:val="00344523"/>
    <w:rsid w:val="00350B15"/>
    <w:rsid w:val="00377A3D"/>
    <w:rsid w:val="0052086C"/>
    <w:rsid w:val="005A2562"/>
    <w:rsid w:val="00755964"/>
    <w:rsid w:val="008C19D7"/>
    <w:rsid w:val="00A44D32"/>
    <w:rsid w:val="00BB391B"/>
    <w:rsid w:val="00D025C8"/>
    <w:rsid w:val="00E12572"/>
    <w:rsid w:val="00F2552E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D1545D-594B-490F-B4A0-071CC404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E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4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4425</Words>
  <Characters>25225</Characters>
  <Application>Microsoft Office Word</Application>
  <DocSecurity>0</DocSecurity>
  <Lines>210</Lines>
  <Paragraphs>59</Paragraphs>
  <ScaleCrop>false</ScaleCrop>
  <Company>Home</Company>
  <LinksUpToDate>false</LinksUpToDate>
  <CharactersWithSpaces>29591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Глобализация: смена политических акторов и типа управления</dc:title>
  <dc:subject/>
  <dc:creator>Alena</dc:creator>
  <cp:keywords/>
  <dc:description/>
  <cp:lastModifiedBy>admin</cp:lastModifiedBy>
  <cp:revision>2</cp:revision>
  <dcterms:created xsi:type="dcterms:W3CDTF">2014-02-19T11:32:00Z</dcterms:created>
  <dcterms:modified xsi:type="dcterms:W3CDTF">2014-02-19T11:32:00Z</dcterms:modified>
</cp:coreProperties>
</file>