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54" w:rsidRPr="00D95230" w:rsidRDefault="00C96454" w:rsidP="00C96454">
      <w:pPr>
        <w:spacing w:before="120"/>
        <w:jc w:val="center"/>
        <w:rPr>
          <w:rFonts w:ascii="Times New Roman" w:hAnsi="Times New Roman"/>
          <w:b/>
          <w:sz w:val="32"/>
        </w:rPr>
      </w:pPr>
      <w:r w:rsidRPr="00D95230">
        <w:rPr>
          <w:rFonts w:ascii="Times New Roman" w:hAnsi="Times New Roman"/>
          <w:b/>
          <w:sz w:val="32"/>
        </w:rPr>
        <w:t>Интерпретация художественного текста и ее роль в профессиональной подготовке  переводчика художественной литературы</w:t>
      </w:r>
    </w:p>
    <w:p w:rsidR="00C96454" w:rsidRPr="00D95230" w:rsidRDefault="00C96454" w:rsidP="00C96454">
      <w:pPr>
        <w:spacing w:before="120"/>
        <w:jc w:val="center"/>
        <w:rPr>
          <w:rFonts w:ascii="Times New Roman" w:hAnsi="Times New Roman"/>
          <w:sz w:val="28"/>
        </w:rPr>
      </w:pPr>
      <w:r w:rsidRPr="00D95230">
        <w:rPr>
          <w:rFonts w:ascii="Times New Roman" w:hAnsi="Times New Roman"/>
          <w:sz w:val="28"/>
        </w:rPr>
        <w:t>И.Ю. Иеронова</w:t>
      </w:r>
    </w:p>
    <w:p w:rsidR="00C96454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Рассматривается противоречие между требованиями к профессиональной лингвистической подготовке переводчиков и существующей практикой обучения иностранному языку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 обеспечивающей подготовленность специалистов к преобразующей профессиональной деятельности в коммуникативной профессиональной среде. Выдвигается положение о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основным педагогическим условием успешной профессиональной деятельности является формирование коммуникативной культуры у лингвистов-переводчиков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однако на сегодняшний день отсутствует научно-педагогическое знание о закономерностях ее формирования.</w:t>
      </w:r>
    </w:p>
    <w:p w:rsidR="00C96454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The article focuses on the inconsistencies between the professional requirements for the training of interpreters and translators and the current foreign languages teaching practices</w:t>
      </w:r>
      <w:r>
        <w:rPr>
          <w:rFonts w:ascii="Times New Roman" w:hAnsi="Times New Roman"/>
          <w:sz w:val="24"/>
          <w:lang w:val="en-US"/>
        </w:rPr>
        <w:t xml:space="preserve">, </w:t>
      </w:r>
      <w:r w:rsidRPr="00D95230">
        <w:rPr>
          <w:rFonts w:ascii="Times New Roman" w:hAnsi="Times New Roman"/>
          <w:sz w:val="24"/>
          <w:lang w:val="en-US"/>
        </w:rPr>
        <w:t>which fail to adequately train specialists in professional communicative activities. The article postulates that the major teaching principle of a successful career is the development of translators and interpreters' communicativ</w:t>
      </w:r>
      <w:r w:rsidRPr="00D95230">
        <w:rPr>
          <w:rFonts w:ascii="Times New Roman" w:hAnsi="Times New Roman"/>
          <w:sz w:val="24"/>
        </w:rPr>
        <w:t>е</w:t>
      </w:r>
      <w:r w:rsidRPr="00D95230">
        <w:rPr>
          <w:rFonts w:ascii="Times New Roman" w:hAnsi="Times New Roman"/>
          <w:sz w:val="24"/>
          <w:lang w:val="en-US"/>
        </w:rPr>
        <w:t xml:space="preserve"> skills. However</w:t>
      </w:r>
      <w:r>
        <w:rPr>
          <w:rFonts w:ascii="Times New Roman" w:hAnsi="Times New Roman"/>
          <w:sz w:val="24"/>
          <w:lang w:val="en-US"/>
        </w:rPr>
        <w:t xml:space="preserve">, </w:t>
      </w:r>
      <w:r w:rsidRPr="00D95230">
        <w:rPr>
          <w:rFonts w:ascii="Times New Roman" w:hAnsi="Times New Roman"/>
          <w:sz w:val="24"/>
          <w:lang w:val="en-US"/>
        </w:rPr>
        <w:t>the methodology and the basic principles of achieving this goal have not been elaborated yet.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Целью любого профессионального образования является достижение профессиональной компетентности специалиста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которая понимается нами как готовность будущего лингвиста-переводчика к осуществлению межкультурной коммуникации. Под межкультурной коммуникацией мы понимаем любые виды коммуникации как устной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 и письменной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к наиболее сложной разновидности письменной межкультурной коммуникации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 нашему мнению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относится художественный перевод. Именно этот вид профессиональной переводческой деятельности требует от переводчика высокого уровня коммуникативной культуры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под которой мы понимаем не только отличное знание иностранного языка (лингвистическую компетенцию)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и лингвострановедческую и коммуникативную компетенции — все то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С.Г.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Тер-Минасова называет «миром изучаемого языка» [1].</w:t>
      </w:r>
    </w:p>
    <w:p w:rsidR="00C96454" w:rsidRPr="00D95230" w:rsidRDefault="002F7C07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style="position:absolute;left:0;text-align:left;margin-left:127.05pt;margin-top:724.85pt;width:342pt;height:34.35pt;z-index:251657728;mso-position-horizontal-relative:page;mso-position-vertical-relative:page" coordorigin="2540,14617" coordsize="6840,687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551;top:14751;width:6803;height:553" filled="f" stroked="f">
              <v:textbox style="mso-next-textbox:#_x0000_s1027" inset="0,0,0,0">
                <w:txbxContent>
                  <w:p w:rsidR="00C96454" w:rsidRDefault="00C96454" w:rsidP="00C9645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Вестник РГУ им. И. Канта. 2006. Вып. 2. </w:t>
                    </w:r>
                    <w:r>
                      <w:rPr>
                        <w:i/>
                        <w:iCs/>
                        <w:sz w:val="18"/>
                      </w:rPr>
                      <w:t>Филологические науки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>. С. 6—11.</w:t>
                    </w:r>
                  </w:p>
                </w:txbxContent>
              </v:textbox>
            </v:shape>
            <v:line id="_x0000_s1028" style="position:absolute" from="2540,14617" to="9380,14617"/>
            <w10:wrap anchorx="page" anchory="page"/>
          </v:group>
        </w:pict>
      </w:r>
      <w:r w:rsidR="00C96454" w:rsidRPr="00D95230">
        <w:rPr>
          <w:rFonts w:ascii="Times New Roman" w:hAnsi="Times New Roman"/>
          <w:sz w:val="24"/>
        </w:rPr>
        <w:t>Однако представляется</w:t>
      </w:r>
      <w:r w:rsidR="00C96454">
        <w:rPr>
          <w:rFonts w:ascii="Times New Roman" w:hAnsi="Times New Roman"/>
          <w:sz w:val="24"/>
        </w:rPr>
        <w:t xml:space="preserve">, </w:t>
      </w:r>
      <w:r w:rsidR="00C96454" w:rsidRPr="00D95230">
        <w:rPr>
          <w:rFonts w:ascii="Times New Roman" w:hAnsi="Times New Roman"/>
          <w:sz w:val="24"/>
        </w:rPr>
        <w:t>что и этого недостаточно</w:t>
      </w:r>
      <w:r w:rsidR="00C96454">
        <w:rPr>
          <w:rFonts w:ascii="Times New Roman" w:hAnsi="Times New Roman"/>
          <w:sz w:val="24"/>
        </w:rPr>
        <w:t xml:space="preserve">, </w:t>
      </w:r>
      <w:r w:rsidR="00C96454" w:rsidRPr="00D95230">
        <w:rPr>
          <w:rFonts w:ascii="Times New Roman" w:hAnsi="Times New Roman"/>
          <w:sz w:val="24"/>
        </w:rPr>
        <w:t>чтобы квалифицированно осуществлять художественный перевод. Как справедливо отмечает И.С. Алексеева</w:t>
      </w:r>
      <w:r w:rsidR="00C96454">
        <w:rPr>
          <w:rFonts w:ascii="Times New Roman" w:hAnsi="Times New Roman"/>
          <w:sz w:val="24"/>
        </w:rPr>
        <w:t xml:space="preserve">, </w:t>
      </w:r>
      <w:r w:rsidR="00C96454" w:rsidRPr="00D95230">
        <w:rPr>
          <w:rFonts w:ascii="Times New Roman" w:hAnsi="Times New Roman"/>
          <w:sz w:val="24"/>
        </w:rPr>
        <w:t>необходимо научить будущих переводчиков не просто иностранному языку (системе языка)</w:t>
      </w:r>
      <w:r w:rsidR="00C96454">
        <w:rPr>
          <w:rFonts w:ascii="Times New Roman" w:hAnsi="Times New Roman"/>
          <w:sz w:val="24"/>
        </w:rPr>
        <w:t xml:space="preserve">, </w:t>
      </w:r>
      <w:r w:rsidR="00C96454" w:rsidRPr="00D95230">
        <w:rPr>
          <w:rFonts w:ascii="Times New Roman" w:hAnsi="Times New Roman"/>
          <w:sz w:val="24"/>
        </w:rPr>
        <w:t>а трансляции одной семиотической системы в другую [2</w:t>
      </w:r>
      <w:r w:rsidR="00C96454">
        <w:rPr>
          <w:rFonts w:ascii="Times New Roman" w:hAnsi="Times New Roman"/>
          <w:sz w:val="24"/>
        </w:rPr>
        <w:t xml:space="preserve">, </w:t>
      </w:r>
      <w:r w:rsidR="00C96454" w:rsidRPr="00D95230">
        <w:rPr>
          <w:rFonts w:ascii="Times New Roman" w:hAnsi="Times New Roman"/>
          <w:sz w:val="24"/>
        </w:rPr>
        <w:t>с. 26]</w:t>
      </w:r>
      <w:r w:rsidR="00C96454">
        <w:rPr>
          <w:rFonts w:ascii="Times New Roman" w:hAnsi="Times New Roman"/>
          <w:sz w:val="24"/>
        </w:rPr>
        <w:t xml:space="preserve">, </w:t>
      </w:r>
      <w:r w:rsidR="00C96454" w:rsidRPr="00D95230">
        <w:rPr>
          <w:rFonts w:ascii="Times New Roman" w:hAnsi="Times New Roman"/>
          <w:sz w:val="24"/>
        </w:rPr>
        <w:t>а это предполагает</w:t>
      </w:r>
      <w:r w:rsidR="00C96454">
        <w:rPr>
          <w:rFonts w:ascii="Times New Roman" w:hAnsi="Times New Roman"/>
          <w:sz w:val="24"/>
        </w:rPr>
        <w:t xml:space="preserve">, </w:t>
      </w:r>
      <w:r w:rsidR="00C96454" w:rsidRPr="00D95230">
        <w:rPr>
          <w:rFonts w:ascii="Times New Roman" w:hAnsi="Times New Roman"/>
          <w:sz w:val="24"/>
        </w:rPr>
        <w:t>что преподаватели перевода должны уметь обучать переводу и должны сами переводить. Отсюда вытекает и другое непременное условие коммуникативной культуры переводчика — совершенное знание родного языка. По мнению И.С. Алексеевой</w:t>
      </w:r>
      <w:r w:rsidR="00C96454">
        <w:rPr>
          <w:rFonts w:ascii="Times New Roman" w:hAnsi="Times New Roman"/>
          <w:sz w:val="24"/>
        </w:rPr>
        <w:t xml:space="preserve">, </w:t>
      </w:r>
      <w:r w:rsidR="00C96454" w:rsidRPr="00D95230">
        <w:rPr>
          <w:rFonts w:ascii="Times New Roman" w:hAnsi="Times New Roman"/>
          <w:sz w:val="24"/>
        </w:rPr>
        <w:t>обучение современного переводчика следует начинать с активного преподавания родного языка и продолжать интенсивный тренинг до самого окончания обучения [2</w:t>
      </w:r>
      <w:r w:rsidR="00C96454">
        <w:rPr>
          <w:rFonts w:ascii="Times New Roman" w:hAnsi="Times New Roman"/>
          <w:sz w:val="24"/>
        </w:rPr>
        <w:t xml:space="preserve">, </w:t>
      </w:r>
      <w:r w:rsidR="00C96454" w:rsidRPr="00D95230">
        <w:rPr>
          <w:rFonts w:ascii="Times New Roman" w:hAnsi="Times New Roman"/>
          <w:sz w:val="24"/>
        </w:rPr>
        <w:t>с. 12]. Для обеспечения процесса профессионального формирования лингвиста-переводчика необходимо определиться с концептуальным обоснованием базового понятия «профессиональная компетентность»</w:t>
      </w:r>
      <w:r w:rsidR="00C96454">
        <w:rPr>
          <w:rFonts w:ascii="Times New Roman" w:hAnsi="Times New Roman"/>
          <w:sz w:val="24"/>
        </w:rPr>
        <w:t xml:space="preserve">, </w:t>
      </w:r>
      <w:r w:rsidR="00C96454" w:rsidRPr="00D95230">
        <w:rPr>
          <w:rFonts w:ascii="Times New Roman" w:hAnsi="Times New Roman"/>
          <w:sz w:val="24"/>
        </w:rPr>
        <w:t>однако этому препятствует на сегодняшний день ряд нерешенных проблем: не существует однозначного понимания профессии переводчик (за рубежом русскому слову «переводчик» соответствуют две специальности — «письменный переводчик» и «устный переводчик»)</w:t>
      </w:r>
      <w:r w:rsidR="00C96454">
        <w:rPr>
          <w:rFonts w:ascii="Times New Roman" w:hAnsi="Times New Roman"/>
          <w:sz w:val="24"/>
        </w:rPr>
        <w:t xml:space="preserve">, </w:t>
      </w:r>
      <w:r w:rsidR="00C96454" w:rsidRPr="00D95230">
        <w:rPr>
          <w:rFonts w:ascii="Times New Roman" w:hAnsi="Times New Roman"/>
          <w:sz w:val="24"/>
        </w:rPr>
        <w:t>не вполне ясно</w:t>
      </w:r>
      <w:r w:rsidR="00C96454">
        <w:rPr>
          <w:rFonts w:ascii="Times New Roman" w:hAnsi="Times New Roman"/>
          <w:sz w:val="24"/>
        </w:rPr>
        <w:t xml:space="preserve">, </w:t>
      </w:r>
      <w:r w:rsidR="00C96454" w:rsidRPr="00D95230">
        <w:rPr>
          <w:rFonts w:ascii="Times New Roman" w:hAnsi="Times New Roman"/>
          <w:sz w:val="24"/>
        </w:rPr>
        <w:t>что именно подразумевается под понятиями «перевод»</w:t>
      </w:r>
      <w:r w:rsidR="00C96454">
        <w:rPr>
          <w:rFonts w:ascii="Times New Roman" w:hAnsi="Times New Roman"/>
          <w:sz w:val="24"/>
        </w:rPr>
        <w:t xml:space="preserve">, </w:t>
      </w:r>
      <w:r w:rsidR="00C96454" w:rsidRPr="00D95230">
        <w:rPr>
          <w:rFonts w:ascii="Times New Roman" w:hAnsi="Times New Roman"/>
          <w:sz w:val="24"/>
        </w:rPr>
        <w:t>«межкультурная коммуникация»</w:t>
      </w:r>
      <w:r w:rsidR="00C96454">
        <w:rPr>
          <w:rFonts w:ascii="Times New Roman" w:hAnsi="Times New Roman"/>
          <w:sz w:val="24"/>
        </w:rPr>
        <w:t xml:space="preserve">, </w:t>
      </w:r>
      <w:r w:rsidR="00C96454" w:rsidRPr="00D95230">
        <w:rPr>
          <w:rFonts w:ascii="Times New Roman" w:hAnsi="Times New Roman"/>
          <w:sz w:val="24"/>
        </w:rPr>
        <w:t>не существует модели подготовки лингвиста-переводчика.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Более того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до сих пор подготовку переводчиков осуществляли преподаватели иностранных языков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«перевод» рассматривали как один из видов речевой деятельности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 xml:space="preserve">но не как профессиональную деятельность. Именно поэтому этот вид </w:t>
      </w:r>
      <w:r w:rsidRPr="00D95230">
        <w:rPr>
          <w:rFonts w:ascii="Times New Roman" w:hAnsi="Times New Roman"/>
          <w:sz w:val="24"/>
        </w:rPr>
        <w:lastRenderedPageBreak/>
        <w:t>профессиональной деятельности до настоящего времени осваивается в основном экстенсивно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само по себе неправильно.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Действительно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профессия «лингвист-переводчик» новая для российских вузов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существует мировой опыт зарубежных переводческих школ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который показывает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профессиональных переводчиков можно и нужно готовить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более того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при этом без преподавательских усилий не обойтись.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По мнению В.И. Щадрина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именно классические университеты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осуществляющие подготовку по специальности «филология»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должны готовить переводчиков в области художественного перевода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требует от переводчика очень высокого уровня коммуникативной культуры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без которой невозможно тонкое проникновение в текст как семиотическую систему и ее перекодирование в другую семиотическую систему. Это требует от переводчика знания не только лингвистики текста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и истории литературы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знакомства с моделями герменевтики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рецептивной эстетики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где рассматривается творческая личность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создавшая его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авторская интенция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широкий культурный и философский контекст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фоновые знания.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На старших курсах обучения такой формой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призванной подготовить переводчика художественной литературы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должен стать предпереводческий анализ текстов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который отличается от аналитического чтения тем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преподаватель требует не только анализа текста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и перевода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сравнения с уже существующими переводами и последующего критического анализа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способствует развитию у будущих переводчиков таких профессионально важных качеств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исследование эпистемических и эвристических знаний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креативное мышление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развитые мыслительные операции вычленения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сравнения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анализа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синтеза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умение выделять основные смысловые единицы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ключевую информацию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высокий уровень культурологической и лингвострановедческой эрудиции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текстовая культура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критичность мышления и способность к самооценке и т.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д.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Наибольшую трудность при переводе художественных текстов вызывает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 нашему наблюдению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декодирование авторской интенции через интенциональность художественного текста.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Такая постановка проблемы включает в круг исследования не только сам текст (как непосредственный объект)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и творческую личность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создавшую его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было исключено в лингвистике текста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где текст рассматривался сам по себе в отрыве от субъекта создающего и познающего. Одним из предшественников А. Прието и идей рецептивной эстетики был Р. Ингарден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выдвинувший ряд концепций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ставших краеугольными для современных исследователей. Ему принадлежит разработка понятий конкретизации и реконструкции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составляющих две стороны восприятия произведения адресатом [3]. Как отмечает А.В.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Дранов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своей теории структуры художественного произведения Ингарден испытал сильное влияние феноменологии Э. Гуссерля. Это прежде всего выразилось в идее интенциональности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ставшей основополагающей для всех последующих сторонников рецептивной эстетики. Именно эта идея стала философским обоснованием коммуникативной сущности искусства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объясняющим активный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творческий характер читательского восприятия [4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128—129].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Как известно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интенциональность — это направленность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устремленность сознания на предмет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позволяющая личности создавать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не только пассивно воспринимать окружающий вещный мир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наполняя его «своим собственным» содержанием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смыслом и значением. Принцип интенциональности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восходящий к средневековой схоластике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получил систематическое выражение в работах Ф. Брентано и Э. Гуссерля. Согласно Брентано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психика человека интенциональна по своей природе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 как не существует без отношения личности к любым — реальным или вымышленным — явлениям. По Гуссерлю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субъект поэтапно конституирует мир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выстраивая объекты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 xml:space="preserve">доступные его пониманию и </w:t>
      </w:r>
      <w:r w:rsidRPr="00D95230">
        <w:rPr>
          <w:rFonts w:ascii="Times New Roman" w:hAnsi="Times New Roman"/>
          <w:sz w:val="24"/>
        </w:rPr>
        <w:lastRenderedPageBreak/>
        <w:t>исследованию. Иными словами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без мирообразующего сознания для личности не существует внешней (равно как и внутренней психологической) реальности: «Нет объекта без субъекта».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Таким образом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неимоверно возрастает роль творческой личности не только в создании литературного произведения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и в акте рецепции. Текст при таком подходе становится результатом коммуникации между автором и читателем как выстраивания читателем «смысла произведения». Однако сам Р. Ингарден предпочел ограничиться рамками анализа самого литературного произведения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 и не сумев сделать решительного перехода к изучению акта рецепции и специфики реципиента. Как известно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именно в работах представителей пражского структурализма Ф. Водички и Я. Мукаржевского наметился путь преодоления метафизической феноменологии Р. Ингардена. По Мукаржевскому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«значение» (которое Ф. де Соссюр определяет как конвенциональное взаимоотношение между «означающим » и «означаемым») задается в эстетическом объекте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понимаемом как «знак»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 изначальными лингвистическими конвенциями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зависит от внеязыковых конвенций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реципиент привносит в произведение. А поскольку литературный текст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становясь значительным литературным произведением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«живет» во времени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то и его смысл существенным образом меняется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являясь динамической составляющей.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Не случайно А. Прието отмечает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литературное произведение как структура обладает динамизмом именно потому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означаемое всегда есть отношение и никогда — объект (всегда движение и никогда — нечто статическое) [5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409]. Структура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 мнению Прието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замыкает движение и значение своих элементов внутри себя самой и регулирует все это как целое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создает свой смысл. Именно поэтому структура в концепции Прието наделяется свойствами тотализации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трансформации и саморегуляции.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Вопрос состоит в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мы будем подразумевать под структурой текста и чем она отличается от формы текста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если отличается. Для того чтобы понять литературное произведение (прежде всего — роман)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нужно обратиться к серьезному семиологическому исследованию его смысла. Литературный текст представляет собой некую социально обусловленную игру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посредством которой абстрактный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вымышленный мир последовательно трансформируется в мир реалистический и конкретный — предлагаемый нам мир литературного текста. Как написанное произведение текст составляет диалектическое единство двух структур — субъективной и объективной (термин достаточно условный)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под субъективной структурой понимается авторская интенция (интенциональная установка) и способы ее реализации в литературном тексте. Под объективной структурой — внешний мир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из которого автор путем селекции отбирает необходимые ему элементы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часто комбинируя их по-новому и видоизменяя. Таким образом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«сконструированный» мир — мир художественного произведения — обретает статус одного из возможных миров.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Самым сложным и интересным вопросом остается проблема референции в этом мире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ибо часто при всей его мнимой «реальности» он есть факт вымысла — явление вымышленное</w:t>
      </w:r>
      <w:r w:rsidRPr="00D95230">
        <w:rPr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 имеющее конкретного референта. В связи с этим нам представляется весьма ценным рассуждение о вымышленном (фикциональном) тексте В. Изера. Он считает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мир текста (вымышленного) не будет иметь ничего идентичного в данном нам мире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поскольку базис его организации составляют интенциональность</w:t>
      </w:r>
      <w:r w:rsidRPr="00D95230">
        <w:rPr>
          <w:rFonts w:ascii="Times New Roman" w:hAnsi="Times New Roman"/>
          <w:sz w:val="24"/>
        </w:rPr>
        <w:footnoteReference w:id="2"/>
      </w:r>
      <w:r w:rsidRPr="00D95230">
        <w:rPr>
          <w:rFonts w:ascii="Times New Roman" w:hAnsi="Times New Roman"/>
          <w:sz w:val="24"/>
        </w:rPr>
        <w:t xml:space="preserve"> и реляционизация</w:t>
      </w:r>
      <w:r w:rsidRPr="00D95230">
        <w:rPr>
          <w:rFonts w:ascii="Times New Roman" w:hAnsi="Times New Roman"/>
          <w:sz w:val="24"/>
        </w:rPr>
        <w:footnoteReference w:id="3"/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качествами данного нам мира не являются. Мир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представленный в художественном тексте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 В. Изеру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представлен в модусе «как если бы». Тем самым «как если бы» управляет актом представления так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предзадает представляющему сознанию определенный мир. Этот акт представления невозможно считать ни субъективно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ни объективно привязанным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поскольку в нем происходит нарушение границы: представление субъекта наполняет жизнью мир текста и тем самым вступает в контакт с ирреальным миром [6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206—208].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Возвращаясь к поставленной проблеме о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же будет референтом этого мира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мы можем утверждать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он будет автореферентен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под автореференцией мы будем в дальнейшем понимать инференцию. Иначе говоря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под инференцией понимается акт наделения смыслом воображаемого (или воображенного)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 имеющего аналога в действительности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другими словами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это операция прагматизации воображаемого. Следует отметить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литературный текст может пониматься по-разному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свидетельствует о семантической неопределенности текста. Если в понимаемости по-разному литературного текста обозначаются границы семантики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 В. Изеру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этого достаточно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чтобы стала ясна неразрешимость проблемы в плане референциональной семантики. Таким образом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понимаемость по-разному фикционального текста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 его точки зрения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считается прагматической характеристикой его семантики [6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212]. Представляется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при рассмотрении текста не только как объекта лингвистического исследования (что характерно для лингвистики текста)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при включении его в акт коммуникации с учетом адресанта (автора) и адресата (реципиента) следует дополнить категориальный аппарат текста такими категориями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авторская интенция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интенциональность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релятивизация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интертекстуальность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инференция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ирреализация.</w:t>
      </w:r>
    </w:p>
    <w:p w:rsidR="00C96454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С учетом всего вышесказанного мы считаем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поскольку первым реципиентом иноязычного текста при его переводе становится переводчик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то указанные категории играют важную роль на стадии предпереводческого анализа и должны найти определенное освещение как на занятиях по интерпретации художественного текста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 и в методике профессиональной подготовки лингвиста-переводчика. Отсюда проистекает важность целевой подготовки филолога-переводчика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обладающего самым широким филологическим кругозором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который обеспечивается общеуниверситетской подготовкой.</w:t>
      </w:r>
    </w:p>
    <w:p w:rsidR="00C96454" w:rsidRPr="00D95230" w:rsidRDefault="00C96454" w:rsidP="00C96454">
      <w:pPr>
        <w:spacing w:before="120"/>
        <w:jc w:val="center"/>
        <w:rPr>
          <w:rFonts w:ascii="Times New Roman" w:hAnsi="Times New Roman"/>
          <w:b/>
          <w:sz w:val="28"/>
        </w:rPr>
      </w:pPr>
      <w:r w:rsidRPr="00D95230">
        <w:rPr>
          <w:rFonts w:ascii="Times New Roman" w:hAnsi="Times New Roman"/>
          <w:b/>
          <w:sz w:val="28"/>
        </w:rPr>
        <w:t>Список литературы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Тер-Минасова С.Г. Языки и межкультурная коммуникация // Программы теоретических курсов лекций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спецкурсов и спецсеминаров: по специальности «Английский язык». М.: Изд-во МГУ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2002.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Алексеева И.С. Профессиональный тренинг переводчика. СПб</w:t>
      </w:r>
      <w:r w:rsidRPr="00D95230">
        <w:rPr>
          <w:rFonts w:ascii="Times New Roman" w:hAnsi="Times New Roman"/>
          <w:sz w:val="24"/>
          <w:lang w:val="en-US"/>
        </w:rPr>
        <w:t xml:space="preserve">.: </w:t>
      </w:r>
      <w:r w:rsidRPr="00D95230">
        <w:rPr>
          <w:rFonts w:ascii="Times New Roman" w:hAnsi="Times New Roman"/>
          <w:sz w:val="24"/>
        </w:rPr>
        <w:t>Союз</w:t>
      </w:r>
      <w:r w:rsidRPr="00D95230">
        <w:rPr>
          <w:rFonts w:ascii="Times New Roman" w:hAnsi="Times New Roman"/>
          <w:sz w:val="24"/>
          <w:lang w:val="en-US"/>
        </w:rPr>
        <w:t>, 2003.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  <w:lang w:val="en-US"/>
        </w:rPr>
        <w:t xml:space="preserve">3. Ingarden R. Vom Erkennen des literarischen Kunstwerks. </w:t>
      </w:r>
      <w:r w:rsidRPr="00D95230">
        <w:rPr>
          <w:rFonts w:ascii="Times New Roman" w:hAnsi="Times New Roman"/>
          <w:sz w:val="24"/>
        </w:rPr>
        <w:t>Tübigen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1968.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Дранов А.В. Рецептивная эстетика // Современное зарубежное литературоведение / Науч. ред. и сост. И.П. Ильин и Е.А. Цурганова. М.: Интрада-ИНИОН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1996.</w:t>
      </w:r>
    </w:p>
    <w:p w:rsidR="00C96454" w:rsidRPr="00D95230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Прието А. Семиотика литературы // Семиотика / Сост. и общ. ред. Ю.С.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Степанова. М.: Академ. проект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2001.</w:t>
      </w:r>
    </w:p>
    <w:p w:rsidR="00C96454" w:rsidRDefault="00C96454" w:rsidP="00C96454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Изер В. Акты вымысла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или Что фиктивно в фикциональном тексте // Немецкое философское литературоведение наших дней: Антология. СПб: Изд-во СПбГУ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2001.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A51" w:rsidRDefault="00920A51">
      <w:r>
        <w:separator/>
      </w:r>
    </w:p>
  </w:endnote>
  <w:endnote w:type="continuationSeparator" w:id="0">
    <w:p w:rsidR="00920A51" w:rsidRDefault="0092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A51" w:rsidRDefault="00920A51">
      <w:r>
        <w:separator/>
      </w:r>
    </w:p>
  </w:footnote>
  <w:footnote w:type="continuationSeparator" w:id="0">
    <w:p w:rsidR="00920A51" w:rsidRDefault="00920A51">
      <w:r>
        <w:continuationSeparator/>
      </w:r>
    </w:p>
  </w:footnote>
  <w:footnote w:id="1">
    <w:p w:rsidR="00920A51" w:rsidRDefault="00C96454" w:rsidP="00C96454">
      <w:pPr>
        <w:pStyle w:val="a4"/>
      </w:pPr>
      <w:r>
        <w:rPr>
          <w:rStyle w:val="a3"/>
          <w:rFonts w:cs="Book Antiqua"/>
          <w:sz w:val="18"/>
          <w:szCs w:val="18"/>
        </w:rPr>
        <w:footnoteRef/>
      </w:r>
      <w:r>
        <w:rPr>
          <w:sz w:val="18"/>
          <w:szCs w:val="18"/>
        </w:rPr>
        <w:t xml:space="preserve"> Вымышленное, по В. Изеру, понимается как нтенциональный акт. </w:t>
      </w:r>
    </w:p>
  </w:footnote>
  <w:footnote w:id="2">
    <w:p w:rsidR="00920A51" w:rsidRDefault="00C96454" w:rsidP="00C96454">
      <w:pPr>
        <w:pStyle w:val="a4"/>
      </w:pPr>
      <w:r>
        <w:rPr>
          <w:rStyle w:val="a3"/>
          <w:rFonts w:cs="Book Antiqua"/>
          <w:sz w:val="18"/>
          <w:szCs w:val="18"/>
        </w:rPr>
        <w:footnoteRef/>
      </w:r>
      <w:r>
        <w:rPr>
          <w:sz w:val="18"/>
          <w:szCs w:val="18"/>
        </w:rPr>
        <w:t xml:space="preserve"> Интенциональность текста, по В. Изеру, — это приспособление воображаемо</w:t>
      </w:r>
      <w:r>
        <w:rPr>
          <w:sz w:val="18"/>
          <w:szCs w:val="18"/>
        </w:rPr>
        <w:softHyphen/>
        <w:t>го к использованию, которое не является независимым от данностей, в рамках которого оно совершается.</w:t>
      </w:r>
    </w:p>
  </w:footnote>
  <w:footnote w:id="3">
    <w:p w:rsidR="00920A51" w:rsidRDefault="00C96454" w:rsidP="00C96454">
      <w:pPr>
        <w:pStyle w:val="a4"/>
        <w:tabs>
          <w:tab w:val="center" w:pos="1418"/>
          <w:tab w:val="center" w:pos="6439"/>
        </w:tabs>
      </w:pPr>
      <w:r>
        <w:rPr>
          <w:rStyle w:val="a3"/>
          <w:rFonts w:cs="Book Antiqua"/>
          <w:sz w:val="18"/>
          <w:szCs w:val="18"/>
        </w:rPr>
        <w:footnoteRef/>
      </w:r>
      <w:r>
        <w:rPr>
          <w:sz w:val="18"/>
          <w:szCs w:val="18"/>
        </w:rPr>
        <w:t xml:space="preserve"> Реляционизация, по В. Изеру, — это продукт акта вымысла, облеченного в кон</w:t>
      </w:r>
      <w:r>
        <w:rPr>
          <w:sz w:val="18"/>
          <w:szCs w:val="18"/>
        </w:rPr>
        <w:softHyphen/>
        <w:t xml:space="preserve">кретную форму. Реляционизация превращает функцию обозначения в функцию фигурации.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454"/>
    <w:rsid w:val="001A35F6"/>
    <w:rsid w:val="002F7C07"/>
    <w:rsid w:val="003B25C2"/>
    <w:rsid w:val="00811DD4"/>
    <w:rsid w:val="00920A51"/>
    <w:rsid w:val="00C96454"/>
    <w:rsid w:val="00D95230"/>
    <w:rsid w:val="00E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30E1481-09F0-46AF-8B5F-C7BE08F2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54"/>
    <w:rPr>
      <w:rFonts w:ascii="Book Antiqua" w:hAnsi="Book Antiqu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C96454"/>
    <w:rPr>
      <w:rFonts w:cs="Times New Roman"/>
      <w:vertAlign w:val="superscript"/>
    </w:rPr>
  </w:style>
  <w:style w:type="paragraph" w:styleId="a4">
    <w:name w:val="footnote text"/>
    <w:aliases w:val="Текст сноски-FN,Footnote Text Char"/>
    <w:basedOn w:val="a"/>
    <w:link w:val="a5"/>
    <w:uiPriority w:val="99"/>
    <w:semiHidden/>
    <w:rsid w:val="00C96454"/>
    <w:pPr>
      <w:autoSpaceDE w:val="0"/>
      <w:autoSpaceDN w:val="0"/>
      <w:jc w:val="both"/>
    </w:pPr>
    <w:rPr>
      <w:rFonts w:cs="Book Antiqua"/>
      <w:szCs w:val="20"/>
    </w:rPr>
  </w:style>
  <w:style w:type="character" w:customStyle="1" w:styleId="a5">
    <w:name w:val="Текст сноски Знак"/>
    <w:aliases w:val="Текст сноски-FN Знак,Footnote Text Char Знак"/>
    <w:link w:val="a4"/>
    <w:uiPriority w:val="99"/>
    <w:semiHidden/>
    <w:rPr>
      <w:rFonts w:ascii="Book Antiqua" w:hAnsi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Интерпретация художественного текста и ее роль в профессиональной подготовке  переводчика художественной литературы</vt:lpstr>
    </vt:vector>
  </TitlesOfParts>
  <Company>Home</Company>
  <LinksUpToDate>false</LinksUpToDate>
  <CharactersWithSpaces>13626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Интерпретация художественного текста и ее роль в профессиональной подготовке  переводчика художественной литературы</dc:title>
  <dc:subject/>
  <dc:creator>User</dc:creator>
  <cp:keywords/>
  <dc:description/>
  <cp:lastModifiedBy>admin</cp:lastModifiedBy>
  <cp:revision>2</cp:revision>
  <dcterms:created xsi:type="dcterms:W3CDTF">2014-02-20T06:00:00Z</dcterms:created>
  <dcterms:modified xsi:type="dcterms:W3CDTF">2014-02-20T06:00:00Z</dcterms:modified>
</cp:coreProperties>
</file>