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C7" w:rsidRPr="00B4417A" w:rsidRDefault="00B374C7" w:rsidP="00B374C7">
      <w:pPr>
        <w:spacing w:before="120"/>
        <w:jc w:val="center"/>
        <w:rPr>
          <w:b/>
          <w:sz w:val="32"/>
        </w:rPr>
      </w:pPr>
      <w:r w:rsidRPr="00B4417A">
        <w:rPr>
          <w:b/>
          <w:sz w:val="32"/>
        </w:rPr>
        <w:t>Использование настоя шиповника для профилактики заболеваний  мочевыводящих путей</w:t>
      </w:r>
    </w:p>
    <w:p w:rsidR="00B374C7" w:rsidRPr="00B4417A" w:rsidRDefault="00B374C7" w:rsidP="00B374C7">
      <w:pPr>
        <w:spacing w:before="120"/>
        <w:jc w:val="center"/>
        <w:rPr>
          <w:sz w:val="28"/>
        </w:rPr>
      </w:pPr>
      <w:r w:rsidRPr="00B4417A">
        <w:rPr>
          <w:sz w:val="28"/>
        </w:rPr>
        <w:t>Соиск. Жевлак Е.С., проф. Василиади Г.К.</w:t>
      </w:r>
    </w:p>
    <w:p w:rsidR="00B374C7" w:rsidRPr="00B4417A" w:rsidRDefault="00B374C7" w:rsidP="00B374C7">
      <w:pPr>
        <w:spacing w:before="120"/>
        <w:jc w:val="center"/>
        <w:rPr>
          <w:sz w:val="28"/>
        </w:rPr>
      </w:pPr>
      <w:r w:rsidRPr="00B4417A">
        <w:rPr>
          <w:sz w:val="28"/>
        </w:rPr>
        <w:t>Кафедра технологии продуктов общественного питания.</w:t>
      </w:r>
    </w:p>
    <w:p w:rsidR="00B374C7" w:rsidRPr="00B4417A" w:rsidRDefault="00B374C7" w:rsidP="00B374C7">
      <w:pPr>
        <w:spacing w:before="120"/>
        <w:jc w:val="center"/>
        <w:rPr>
          <w:sz w:val="28"/>
        </w:rPr>
      </w:pPr>
      <w:r w:rsidRPr="00B4417A">
        <w:rPr>
          <w:sz w:val="28"/>
        </w:rPr>
        <w:t>Северо-Кавказский горно-металлургический институт  (государственный технологический университет)</w:t>
      </w:r>
    </w:p>
    <w:p w:rsidR="00B374C7" w:rsidRDefault="00B374C7" w:rsidP="00B374C7">
      <w:pPr>
        <w:spacing w:before="120"/>
        <w:ind w:firstLine="567"/>
        <w:jc w:val="both"/>
      </w:pPr>
      <w:r w:rsidRPr="00B4417A">
        <w:t>Показано, что использование настоя шиповника вместо яблочного компота обеспечивает нормализацию функциональной деятельности почек и выводит из организма соли – ураты и оксалаты.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Исследования пищевого рациона населения земли показали, что около 70 % населения страдает от нехватки в пищевом рационе витаминов и минеральных веществ [1]. Особое беспокойство вызывает нехватка витаминов и минеральных веществ в детском возрасте, когда происходит развитие организма, которое характеризуется нарастанием мышечной массы, увеличением костной ткани. В условиях всевозрастающего дефицита основных пищевых веществ в рационе человека возникает необходимость более широкого и рационального использования имеющихся природных ресурсов, содержащих значительное количество витаминов, а в особенности витамина С.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Н.И. Ковалев [2] указывает, что плоды шиповника коричного содержат 4 – 14 % аскорбиновой кислоты, каротин, витамины В2, К1 и РР; органические кислоты – олеиновую, линоленовую, линолевую, лимонную и яблочную до 2 %; пектиновые вещества</w:t>
      </w:r>
      <w:r>
        <w:t xml:space="preserve"> </w:t>
      </w:r>
      <w:r w:rsidRPr="00B4417A">
        <w:t>до 4 %; минеральных солей F, Mn, P, Mg, Ca и эфирные масла и до 18 % сахара.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В зависимости от районов произрастания плоды шиповника созревают в августе - сентябре [3]. Плоды шиповника (Frukfus Rosac или Frukfus Cynosbati) используют с лечебной целью, а также в пищевой промышленности для придания продуктам витаминных свойств.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Для нормальной жизнедеятельности организм ребенка должен получать достаточное количество пищевых веществ, качественно соответствующих адаптационным возможностям желудочно-кишечного тракта и уровню его обменных процессов.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Химический анализ плодов используемого шиповника Rosa cinnamomea показал, что он соответствует среднесортовым показателям поливитаминной секции cinnamomea. Нами были приготовлены 2 образца напитка из плодов шиповника. Образец 1 – приготовлен из измельченных плодов шиповника со временем экспозиции 6 часов. Образец 2 (контрольный) приготовлен по рецепту</w:t>
      </w:r>
      <w:r>
        <w:t xml:space="preserve"> </w:t>
      </w:r>
      <w:r w:rsidRPr="00B4417A">
        <w:t>1047. Результаты химического анализа показали, что образец 1 содержит витамины и минеральные вещества в большем количестве, чем образец 2. Органолептическая оценка двух образцов напитков была проведена в детском саду «Солнышко» дегустационной комиссией, в состав которой входили работники данного дошкольного заведения (табл. 1).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Таблица 1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Органолептическая оценка напитка из плодов шиповника, балл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512"/>
        <w:gridCol w:w="3057"/>
      </w:tblGrid>
      <w:tr w:rsidR="00B374C7" w:rsidRPr="00B4417A" w:rsidTr="00FF01E9">
        <w:trPr>
          <w:jc w:val="center"/>
        </w:trPr>
        <w:tc>
          <w:tcPr>
            <w:tcW w:w="1667" w:type="pct"/>
          </w:tcPr>
          <w:p w:rsidR="00B374C7" w:rsidRPr="00B4417A" w:rsidRDefault="00B374C7" w:rsidP="00FF01E9">
            <w:r w:rsidRPr="00B4417A">
              <w:t>Показатель</w:t>
            </w:r>
          </w:p>
        </w:tc>
        <w:tc>
          <w:tcPr>
            <w:tcW w:w="1782" w:type="pct"/>
          </w:tcPr>
          <w:p w:rsidR="00B374C7" w:rsidRPr="00B4417A" w:rsidRDefault="00B374C7" w:rsidP="00FF01E9">
            <w:r w:rsidRPr="00B4417A">
              <w:t>Образец</w:t>
            </w:r>
            <w:r>
              <w:t xml:space="preserve"> </w:t>
            </w:r>
            <w:r w:rsidRPr="00B4417A">
              <w:t>1</w:t>
            </w:r>
          </w:p>
        </w:tc>
        <w:tc>
          <w:tcPr>
            <w:tcW w:w="1552" w:type="pct"/>
          </w:tcPr>
          <w:p w:rsidR="00B374C7" w:rsidRPr="00B4417A" w:rsidRDefault="00B374C7" w:rsidP="00FF01E9">
            <w:r w:rsidRPr="00B4417A">
              <w:t>Образец</w:t>
            </w:r>
            <w:r>
              <w:t xml:space="preserve"> </w:t>
            </w:r>
            <w:r w:rsidRPr="00B4417A">
              <w:t>2</w:t>
            </w:r>
          </w:p>
        </w:tc>
      </w:tr>
      <w:tr w:rsidR="00B374C7" w:rsidRPr="00B4417A" w:rsidTr="00FF01E9">
        <w:trPr>
          <w:jc w:val="center"/>
        </w:trPr>
        <w:tc>
          <w:tcPr>
            <w:tcW w:w="1667" w:type="pct"/>
          </w:tcPr>
          <w:p w:rsidR="00B374C7" w:rsidRPr="00B4417A" w:rsidRDefault="00B374C7" w:rsidP="00FF01E9">
            <w:r w:rsidRPr="00B4417A">
              <w:t>Вкус</w:t>
            </w:r>
          </w:p>
        </w:tc>
        <w:tc>
          <w:tcPr>
            <w:tcW w:w="1782" w:type="pct"/>
          </w:tcPr>
          <w:p w:rsidR="00B374C7" w:rsidRPr="00B4417A" w:rsidRDefault="00B374C7" w:rsidP="00FF01E9">
            <w:r w:rsidRPr="00B4417A">
              <w:t xml:space="preserve">4,9 </w:t>
            </w:r>
            <w:r w:rsidRPr="00B4417A">
              <w:sym w:font="Symbol" w:char="F0B1"/>
            </w:r>
            <w:r w:rsidRPr="00B4417A">
              <w:t xml:space="preserve"> 0,11</w:t>
            </w:r>
          </w:p>
        </w:tc>
        <w:tc>
          <w:tcPr>
            <w:tcW w:w="1552" w:type="pct"/>
          </w:tcPr>
          <w:p w:rsidR="00B374C7" w:rsidRPr="00B4417A" w:rsidRDefault="00B374C7" w:rsidP="00FF01E9">
            <w:r w:rsidRPr="00B4417A">
              <w:t xml:space="preserve">4,1 </w:t>
            </w:r>
            <w:r w:rsidRPr="00B4417A">
              <w:sym w:font="Symbol" w:char="F0B1"/>
            </w:r>
            <w:r w:rsidRPr="00B4417A">
              <w:t xml:space="preserve"> 0,17</w:t>
            </w:r>
          </w:p>
        </w:tc>
      </w:tr>
      <w:tr w:rsidR="00B374C7" w:rsidRPr="00B4417A" w:rsidTr="00FF01E9">
        <w:trPr>
          <w:jc w:val="center"/>
        </w:trPr>
        <w:tc>
          <w:tcPr>
            <w:tcW w:w="1667" w:type="pct"/>
          </w:tcPr>
          <w:p w:rsidR="00B374C7" w:rsidRPr="00B4417A" w:rsidRDefault="00B374C7" w:rsidP="00FF01E9">
            <w:r w:rsidRPr="00B4417A">
              <w:t>Цвет</w:t>
            </w:r>
          </w:p>
        </w:tc>
        <w:tc>
          <w:tcPr>
            <w:tcW w:w="1782" w:type="pct"/>
          </w:tcPr>
          <w:p w:rsidR="00B374C7" w:rsidRPr="00B4417A" w:rsidRDefault="00B374C7" w:rsidP="00FF01E9">
            <w:r w:rsidRPr="00B4417A">
              <w:t xml:space="preserve">4,3 </w:t>
            </w:r>
            <w:r w:rsidRPr="00B4417A">
              <w:sym w:font="Symbol" w:char="F0B1"/>
            </w:r>
            <w:r w:rsidRPr="00B4417A">
              <w:t xml:space="preserve"> 0,11</w:t>
            </w:r>
          </w:p>
        </w:tc>
        <w:tc>
          <w:tcPr>
            <w:tcW w:w="1552" w:type="pct"/>
          </w:tcPr>
          <w:p w:rsidR="00B374C7" w:rsidRPr="00B4417A" w:rsidRDefault="00B374C7" w:rsidP="00FF01E9">
            <w:r w:rsidRPr="00B4417A">
              <w:t xml:space="preserve">4,7 </w:t>
            </w:r>
            <w:r w:rsidRPr="00B4417A">
              <w:sym w:font="Symbol" w:char="F0B1"/>
            </w:r>
            <w:r w:rsidRPr="00B4417A">
              <w:t xml:space="preserve"> 0,14</w:t>
            </w:r>
          </w:p>
        </w:tc>
      </w:tr>
      <w:tr w:rsidR="00B374C7" w:rsidRPr="00B4417A" w:rsidTr="00FF01E9">
        <w:trPr>
          <w:jc w:val="center"/>
        </w:trPr>
        <w:tc>
          <w:tcPr>
            <w:tcW w:w="1667" w:type="pct"/>
          </w:tcPr>
          <w:p w:rsidR="00B374C7" w:rsidRPr="00B4417A" w:rsidRDefault="00B374C7" w:rsidP="00FF01E9">
            <w:r w:rsidRPr="00B4417A">
              <w:t>Аромат</w:t>
            </w:r>
          </w:p>
        </w:tc>
        <w:tc>
          <w:tcPr>
            <w:tcW w:w="1782" w:type="pct"/>
          </w:tcPr>
          <w:p w:rsidR="00B374C7" w:rsidRPr="00B4417A" w:rsidRDefault="00B374C7" w:rsidP="00FF01E9">
            <w:r w:rsidRPr="00B4417A">
              <w:t xml:space="preserve">4,8 </w:t>
            </w:r>
            <w:r w:rsidRPr="00B4417A">
              <w:sym w:font="Symbol" w:char="F0B1"/>
            </w:r>
            <w:r w:rsidRPr="00B4417A">
              <w:t xml:space="preserve"> 0,15</w:t>
            </w:r>
          </w:p>
        </w:tc>
        <w:tc>
          <w:tcPr>
            <w:tcW w:w="1552" w:type="pct"/>
          </w:tcPr>
          <w:p w:rsidR="00B374C7" w:rsidRPr="00B4417A" w:rsidRDefault="00B374C7" w:rsidP="00FF01E9">
            <w:r w:rsidRPr="00B4417A">
              <w:t xml:space="preserve">4,4 </w:t>
            </w:r>
            <w:r w:rsidRPr="00B4417A">
              <w:sym w:font="Symbol" w:char="F0B1"/>
            </w:r>
            <w:r w:rsidRPr="00B4417A">
              <w:t xml:space="preserve"> 0,17</w:t>
            </w:r>
          </w:p>
        </w:tc>
      </w:tr>
      <w:tr w:rsidR="00B374C7" w:rsidRPr="00B4417A" w:rsidTr="00FF01E9">
        <w:trPr>
          <w:jc w:val="center"/>
        </w:trPr>
        <w:tc>
          <w:tcPr>
            <w:tcW w:w="1667" w:type="pct"/>
          </w:tcPr>
          <w:p w:rsidR="00B374C7" w:rsidRPr="00B4417A" w:rsidRDefault="00B374C7" w:rsidP="00FF01E9">
            <w:r w:rsidRPr="00B4417A">
              <w:t>Итого</w:t>
            </w:r>
          </w:p>
        </w:tc>
        <w:tc>
          <w:tcPr>
            <w:tcW w:w="1782" w:type="pct"/>
          </w:tcPr>
          <w:p w:rsidR="00B374C7" w:rsidRPr="00B4417A" w:rsidRDefault="00B374C7" w:rsidP="00FF01E9">
            <w:r w:rsidRPr="00B4417A">
              <w:t xml:space="preserve">14,0 </w:t>
            </w:r>
            <w:r w:rsidRPr="00B4417A">
              <w:sym w:font="Symbol" w:char="F0B1"/>
            </w:r>
            <w:r w:rsidRPr="00B4417A">
              <w:t xml:space="preserve"> 0,12</w:t>
            </w:r>
          </w:p>
        </w:tc>
        <w:tc>
          <w:tcPr>
            <w:tcW w:w="1552" w:type="pct"/>
          </w:tcPr>
          <w:p w:rsidR="00B374C7" w:rsidRPr="00B4417A" w:rsidRDefault="00B374C7" w:rsidP="00FF01E9">
            <w:r w:rsidRPr="00B4417A">
              <w:t xml:space="preserve">13,2 </w:t>
            </w:r>
            <w:r w:rsidRPr="00B4417A">
              <w:sym w:font="Symbol" w:char="F0B1"/>
            </w:r>
            <w:r w:rsidRPr="00B4417A">
              <w:t xml:space="preserve"> 0,16</w:t>
            </w:r>
          </w:p>
        </w:tc>
      </w:tr>
    </w:tbl>
    <w:p w:rsidR="00B374C7" w:rsidRPr="00B4417A" w:rsidRDefault="00B374C7" w:rsidP="00B374C7">
      <w:pPr>
        <w:spacing w:before="120"/>
        <w:ind w:firstLine="567"/>
        <w:jc w:val="both"/>
      </w:pPr>
      <w:r w:rsidRPr="00B4417A">
        <w:t>Как видно из данных табл. 1 образец 1 превосходит образец 2 на 0,8 балла.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Анализом пищевого рациона детей дошкольного возраста обнаружена нехватка витаминов А, С и РР. За счет введения в пищевой рацион детей напитка из плодов шиповника происходит восполнение суточной потребности в витаминах А – 0,1 %, В1 – 5,7 %, В2 – 84 %, С – 46,2 % и РР – 10,9 %.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Нормальная деятельность всех органов и систем возможна лишь в том случае, если ядовитые продукты обмена веществ будут своевременно удалены из организма.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Исследования по изучению влияния профилактического напитка из плодов шиповника на функциональную деятельность почек проводили в детском саду «Солнышко». В группе участвовали дети от 4 до 5 лет в количестве 10 человек. Перед введением в пищевой рацион напитка из плодов шиповника у детей исследуемой группы были взяты анализы мочи, которые не показали каких-либо патологических отклонений. Белка не обнаружено ни в одной из проб, без изменения цвет и прозрачность мочи. Количество лейкоцитов в поле зрения в пределах нормы (1 – 2). В моче здорового человека можно обнаружить до 6 – 8 лейкоцитов в поле зрения.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После введения в пищевой рацион детей напитка из плодов шиповника в течение 3-х дней вновь провели лабораторный анализ мочи (табл. 2).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Таблица 2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 xml:space="preserve">Результаты анализа мочи, взятой после применения напитка </w:t>
      </w:r>
      <w:r>
        <w:t xml:space="preserve"> </w:t>
      </w:r>
      <w:r w:rsidRPr="00B4417A">
        <w:t>из плодов шиповника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4868"/>
        <w:gridCol w:w="3356"/>
      </w:tblGrid>
      <w:tr w:rsidR="00B374C7" w:rsidRPr="00B4417A" w:rsidTr="00FF01E9">
        <w:trPr>
          <w:jc w:val="center"/>
        </w:trPr>
        <w:tc>
          <w:tcPr>
            <w:tcW w:w="827" w:type="pct"/>
          </w:tcPr>
          <w:p w:rsidR="00B374C7" w:rsidRPr="00B4417A" w:rsidRDefault="00B374C7" w:rsidP="00FF01E9">
            <w:r w:rsidRPr="00B4417A">
              <w:t>№ п.п.</w:t>
            </w:r>
          </w:p>
        </w:tc>
        <w:tc>
          <w:tcPr>
            <w:tcW w:w="2470" w:type="pct"/>
          </w:tcPr>
          <w:p w:rsidR="00B374C7" w:rsidRPr="00B4417A" w:rsidRDefault="00B374C7" w:rsidP="00FF01E9">
            <w:r w:rsidRPr="00B4417A">
              <w:t>Ф.И. ребенка</w:t>
            </w:r>
          </w:p>
        </w:tc>
        <w:tc>
          <w:tcPr>
            <w:tcW w:w="1703" w:type="pct"/>
          </w:tcPr>
          <w:p w:rsidR="00B374C7" w:rsidRPr="00B4417A" w:rsidRDefault="00B374C7" w:rsidP="00FF01E9">
            <w:r w:rsidRPr="00B4417A">
              <w:t>Соль</w:t>
            </w:r>
          </w:p>
        </w:tc>
      </w:tr>
      <w:tr w:rsidR="00B374C7" w:rsidRPr="00B4417A" w:rsidTr="00FF01E9">
        <w:trPr>
          <w:jc w:val="center"/>
        </w:trPr>
        <w:tc>
          <w:tcPr>
            <w:tcW w:w="827" w:type="pct"/>
          </w:tcPr>
          <w:p w:rsidR="00B374C7" w:rsidRPr="00B4417A" w:rsidRDefault="00B374C7" w:rsidP="00FF01E9">
            <w:r w:rsidRPr="00B4417A">
              <w:t>1</w:t>
            </w:r>
          </w:p>
        </w:tc>
        <w:tc>
          <w:tcPr>
            <w:tcW w:w="2470" w:type="pct"/>
          </w:tcPr>
          <w:p w:rsidR="00B374C7" w:rsidRPr="00B4417A" w:rsidRDefault="00B374C7" w:rsidP="00FF01E9">
            <w:r w:rsidRPr="00B4417A">
              <w:t>Агабекян Милена</w:t>
            </w:r>
          </w:p>
        </w:tc>
        <w:tc>
          <w:tcPr>
            <w:tcW w:w="1703" w:type="pct"/>
          </w:tcPr>
          <w:p w:rsidR="00B374C7" w:rsidRPr="00B4417A" w:rsidRDefault="00B374C7" w:rsidP="00FF01E9">
            <w:r w:rsidRPr="00B4417A">
              <w:t>оксалаты</w:t>
            </w:r>
          </w:p>
        </w:tc>
      </w:tr>
      <w:tr w:rsidR="00B374C7" w:rsidRPr="00B4417A" w:rsidTr="00FF01E9">
        <w:trPr>
          <w:jc w:val="center"/>
        </w:trPr>
        <w:tc>
          <w:tcPr>
            <w:tcW w:w="827" w:type="pct"/>
          </w:tcPr>
          <w:p w:rsidR="00B374C7" w:rsidRPr="00B4417A" w:rsidRDefault="00B374C7" w:rsidP="00FF01E9">
            <w:r w:rsidRPr="00B4417A">
              <w:t>2</w:t>
            </w:r>
          </w:p>
        </w:tc>
        <w:tc>
          <w:tcPr>
            <w:tcW w:w="2470" w:type="pct"/>
          </w:tcPr>
          <w:p w:rsidR="00B374C7" w:rsidRPr="00B4417A" w:rsidRDefault="00B374C7" w:rsidP="00FF01E9">
            <w:r w:rsidRPr="00B4417A">
              <w:t>Баранченко Олег</w:t>
            </w:r>
          </w:p>
        </w:tc>
        <w:tc>
          <w:tcPr>
            <w:tcW w:w="1703" w:type="pct"/>
          </w:tcPr>
          <w:p w:rsidR="00B374C7" w:rsidRPr="00B4417A" w:rsidRDefault="00B374C7" w:rsidP="00FF01E9">
            <w:r w:rsidRPr="00B4417A">
              <w:t>оксалаты</w:t>
            </w:r>
          </w:p>
        </w:tc>
      </w:tr>
      <w:tr w:rsidR="00B374C7" w:rsidRPr="00B4417A" w:rsidTr="00FF01E9">
        <w:trPr>
          <w:jc w:val="center"/>
        </w:trPr>
        <w:tc>
          <w:tcPr>
            <w:tcW w:w="827" w:type="pct"/>
          </w:tcPr>
          <w:p w:rsidR="00B374C7" w:rsidRPr="00B4417A" w:rsidRDefault="00B374C7" w:rsidP="00FF01E9">
            <w:r w:rsidRPr="00B4417A">
              <w:t>3</w:t>
            </w:r>
          </w:p>
        </w:tc>
        <w:tc>
          <w:tcPr>
            <w:tcW w:w="2470" w:type="pct"/>
          </w:tcPr>
          <w:p w:rsidR="00B374C7" w:rsidRPr="00B4417A" w:rsidRDefault="00B374C7" w:rsidP="00FF01E9">
            <w:r w:rsidRPr="00B4417A">
              <w:t>Ефремова Настя</w:t>
            </w:r>
          </w:p>
        </w:tc>
        <w:tc>
          <w:tcPr>
            <w:tcW w:w="1703" w:type="pct"/>
          </w:tcPr>
          <w:p w:rsidR="00B374C7" w:rsidRPr="00B4417A" w:rsidRDefault="00B374C7" w:rsidP="00FF01E9">
            <w:r w:rsidRPr="00B4417A">
              <w:t>оксалаты</w:t>
            </w:r>
          </w:p>
        </w:tc>
      </w:tr>
      <w:tr w:rsidR="00B374C7" w:rsidRPr="00B4417A" w:rsidTr="00FF01E9">
        <w:trPr>
          <w:jc w:val="center"/>
        </w:trPr>
        <w:tc>
          <w:tcPr>
            <w:tcW w:w="827" w:type="pct"/>
          </w:tcPr>
          <w:p w:rsidR="00B374C7" w:rsidRPr="00B4417A" w:rsidRDefault="00B374C7" w:rsidP="00FF01E9">
            <w:r w:rsidRPr="00B4417A">
              <w:t>4</w:t>
            </w:r>
          </w:p>
        </w:tc>
        <w:tc>
          <w:tcPr>
            <w:tcW w:w="2470" w:type="pct"/>
          </w:tcPr>
          <w:p w:rsidR="00B374C7" w:rsidRPr="00B4417A" w:rsidRDefault="00B374C7" w:rsidP="00FF01E9">
            <w:r w:rsidRPr="00B4417A">
              <w:t>Золоев Давид</w:t>
            </w:r>
          </w:p>
        </w:tc>
        <w:tc>
          <w:tcPr>
            <w:tcW w:w="1703" w:type="pct"/>
          </w:tcPr>
          <w:p w:rsidR="00B374C7" w:rsidRPr="00B4417A" w:rsidRDefault="00B374C7" w:rsidP="00FF01E9">
            <w:r w:rsidRPr="00B4417A">
              <w:t>ураты</w:t>
            </w:r>
          </w:p>
        </w:tc>
      </w:tr>
      <w:tr w:rsidR="00B374C7" w:rsidRPr="00B4417A" w:rsidTr="00FF01E9">
        <w:trPr>
          <w:jc w:val="center"/>
        </w:trPr>
        <w:tc>
          <w:tcPr>
            <w:tcW w:w="827" w:type="pct"/>
          </w:tcPr>
          <w:p w:rsidR="00B374C7" w:rsidRPr="00B4417A" w:rsidRDefault="00B374C7" w:rsidP="00FF01E9">
            <w:r w:rsidRPr="00B4417A">
              <w:t>5</w:t>
            </w:r>
          </w:p>
        </w:tc>
        <w:tc>
          <w:tcPr>
            <w:tcW w:w="2470" w:type="pct"/>
          </w:tcPr>
          <w:p w:rsidR="00B374C7" w:rsidRPr="00B4417A" w:rsidRDefault="00B374C7" w:rsidP="00FF01E9">
            <w:r w:rsidRPr="00B4417A">
              <w:t>Масленников Виталий</w:t>
            </w:r>
          </w:p>
        </w:tc>
        <w:tc>
          <w:tcPr>
            <w:tcW w:w="1703" w:type="pct"/>
          </w:tcPr>
          <w:p w:rsidR="00B374C7" w:rsidRPr="00B4417A" w:rsidRDefault="00B374C7" w:rsidP="00FF01E9">
            <w:r w:rsidRPr="00B4417A">
              <w:t>оксалаты</w:t>
            </w:r>
          </w:p>
        </w:tc>
      </w:tr>
      <w:tr w:rsidR="00B374C7" w:rsidRPr="00B4417A" w:rsidTr="00FF01E9">
        <w:trPr>
          <w:jc w:val="center"/>
        </w:trPr>
        <w:tc>
          <w:tcPr>
            <w:tcW w:w="827" w:type="pct"/>
          </w:tcPr>
          <w:p w:rsidR="00B374C7" w:rsidRPr="00B4417A" w:rsidRDefault="00B374C7" w:rsidP="00FF01E9">
            <w:r w:rsidRPr="00B4417A">
              <w:t>6</w:t>
            </w:r>
          </w:p>
        </w:tc>
        <w:tc>
          <w:tcPr>
            <w:tcW w:w="2470" w:type="pct"/>
          </w:tcPr>
          <w:p w:rsidR="00B374C7" w:rsidRPr="00B4417A" w:rsidRDefault="00B374C7" w:rsidP="00FF01E9">
            <w:r w:rsidRPr="00B4417A">
              <w:t>Мартынов Александр</w:t>
            </w:r>
          </w:p>
        </w:tc>
        <w:tc>
          <w:tcPr>
            <w:tcW w:w="1703" w:type="pct"/>
          </w:tcPr>
          <w:p w:rsidR="00B374C7" w:rsidRPr="00B4417A" w:rsidRDefault="00B374C7" w:rsidP="00FF01E9">
            <w:r w:rsidRPr="00B4417A">
              <w:t>ураты</w:t>
            </w:r>
          </w:p>
        </w:tc>
      </w:tr>
      <w:tr w:rsidR="00B374C7" w:rsidRPr="00B4417A" w:rsidTr="00FF01E9">
        <w:trPr>
          <w:jc w:val="center"/>
        </w:trPr>
        <w:tc>
          <w:tcPr>
            <w:tcW w:w="827" w:type="pct"/>
          </w:tcPr>
          <w:p w:rsidR="00B374C7" w:rsidRPr="00B4417A" w:rsidRDefault="00B374C7" w:rsidP="00FF01E9">
            <w:r w:rsidRPr="00B4417A">
              <w:t>7</w:t>
            </w:r>
          </w:p>
        </w:tc>
        <w:tc>
          <w:tcPr>
            <w:tcW w:w="2470" w:type="pct"/>
          </w:tcPr>
          <w:p w:rsidR="00B374C7" w:rsidRPr="00B4417A" w:rsidRDefault="00B374C7" w:rsidP="00FF01E9">
            <w:r w:rsidRPr="00B4417A">
              <w:t>Остояг Георгий</w:t>
            </w:r>
          </w:p>
        </w:tc>
        <w:tc>
          <w:tcPr>
            <w:tcW w:w="1703" w:type="pct"/>
          </w:tcPr>
          <w:p w:rsidR="00B374C7" w:rsidRPr="00B4417A" w:rsidRDefault="00B374C7" w:rsidP="00FF01E9">
            <w:r w:rsidRPr="00B4417A">
              <w:t>оксалаты</w:t>
            </w:r>
          </w:p>
        </w:tc>
      </w:tr>
      <w:tr w:rsidR="00B374C7" w:rsidRPr="00B4417A" w:rsidTr="00FF01E9">
        <w:trPr>
          <w:jc w:val="center"/>
        </w:trPr>
        <w:tc>
          <w:tcPr>
            <w:tcW w:w="827" w:type="pct"/>
          </w:tcPr>
          <w:p w:rsidR="00B374C7" w:rsidRPr="00B4417A" w:rsidRDefault="00B374C7" w:rsidP="00FF01E9">
            <w:r w:rsidRPr="00B4417A">
              <w:t>8</w:t>
            </w:r>
          </w:p>
        </w:tc>
        <w:tc>
          <w:tcPr>
            <w:tcW w:w="2470" w:type="pct"/>
          </w:tcPr>
          <w:p w:rsidR="00B374C7" w:rsidRPr="00B4417A" w:rsidRDefault="00B374C7" w:rsidP="00FF01E9">
            <w:r w:rsidRPr="00B4417A">
              <w:t>Разлада Вячеслав</w:t>
            </w:r>
          </w:p>
        </w:tc>
        <w:tc>
          <w:tcPr>
            <w:tcW w:w="1703" w:type="pct"/>
          </w:tcPr>
          <w:p w:rsidR="00B374C7" w:rsidRPr="00B4417A" w:rsidRDefault="00B374C7" w:rsidP="00FF01E9">
            <w:r w:rsidRPr="00B4417A">
              <w:t>ураты</w:t>
            </w:r>
          </w:p>
        </w:tc>
      </w:tr>
      <w:tr w:rsidR="00B374C7" w:rsidRPr="00B4417A" w:rsidTr="00FF01E9">
        <w:trPr>
          <w:jc w:val="center"/>
        </w:trPr>
        <w:tc>
          <w:tcPr>
            <w:tcW w:w="827" w:type="pct"/>
          </w:tcPr>
          <w:p w:rsidR="00B374C7" w:rsidRPr="00B4417A" w:rsidRDefault="00B374C7" w:rsidP="00FF01E9">
            <w:r w:rsidRPr="00B4417A">
              <w:t>9</w:t>
            </w:r>
          </w:p>
        </w:tc>
        <w:tc>
          <w:tcPr>
            <w:tcW w:w="2470" w:type="pct"/>
          </w:tcPr>
          <w:p w:rsidR="00B374C7" w:rsidRPr="00B4417A" w:rsidRDefault="00B374C7" w:rsidP="00FF01E9">
            <w:r w:rsidRPr="00B4417A">
              <w:t>Чернуцкая Ангелина</w:t>
            </w:r>
          </w:p>
        </w:tc>
        <w:tc>
          <w:tcPr>
            <w:tcW w:w="1703" w:type="pct"/>
          </w:tcPr>
          <w:p w:rsidR="00B374C7" w:rsidRPr="00B4417A" w:rsidRDefault="00B374C7" w:rsidP="00FF01E9">
            <w:r w:rsidRPr="00B4417A">
              <w:t>оксалаты</w:t>
            </w:r>
          </w:p>
        </w:tc>
      </w:tr>
      <w:tr w:rsidR="00B374C7" w:rsidRPr="00B4417A" w:rsidTr="00FF01E9">
        <w:trPr>
          <w:jc w:val="center"/>
        </w:trPr>
        <w:tc>
          <w:tcPr>
            <w:tcW w:w="827" w:type="pct"/>
          </w:tcPr>
          <w:p w:rsidR="00B374C7" w:rsidRPr="00B4417A" w:rsidRDefault="00B374C7" w:rsidP="00FF01E9">
            <w:r w:rsidRPr="00B4417A">
              <w:t>10</w:t>
            </w:r>
          </w:p>
        </w:tc>
        <w:tc>
          <w:tcPr>
            <w:tcW w:w="2470" w:type="pct"/>
          </w:tcPr>
          <w:p w:rsidR="00B374C7" w:rsidRPr="00B4417A" w:rsidRDefault="00B374C7" w:rsidP="00FF01E9">
            <w:r w:rsidRPr="00B4417A">
              <w:t>Чернуцкий Кирилл</w:t>
            </w:r>
          </w:p>
        </w:tc>
        <w:tc>
          <w:tcPr>
            <w:tcW w:w="1703" w:type="pct"/>
          </w:tcPr>
          <w:p w:rsidR="00B374C7" w:rsidRPr="00B4417A" w:rsidRDefault="00B374C7" w:rsidP="00FF01E9">
            <w:r w:rsidRPr="00B4417A">
              <w:t>оксалаты</w:t>
            </w:r>
          </w:p>
        </w:tc>
      </w:tr>
    </w:tbl>
    <w:p w:rsidR="00B374C7" w:rsidRPr="00B4417A" w:rsidRDefault="00B374C7" w:rsidP="00B374C7">
      <w:pPr>
        <w:spacing w:before="120"/>
        <w:ind w:firstLine="567"/>
        <w:jc w:val="both"/>
      </w:pPr>
      <w:r w:rsidRPr="00B4417A">
        <w:t>Как видно из данных табл. 2, применение профилактического напитка из плодов шиповника способствует нормализации обменных процессов в организме и выведению солей мочевой кислоты – уратов, накопление которых ведет к образованию камней желто-коричневого цвета, с гладкой поверхностью, но твердой консистенции. У семерых детей были обнаружены кальциевые соли щавелевой кислоты – оксалаты. Они откладываются в виде плотных камней черного цвета с шиповидной поверхностью. По другим показателям изменения не обнаружены.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Это говорит о каких-то нарушениях в функциональной деятельности почек. Координация деятельности почек у детей не совершенна, а напряженность многих почечных физиологических процессов недостаточна, что объясняет легкость нарушения функций почек у детей первых лет жизни, отмечают П.В. Петровский и др. [4].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Наряду с профилактическим действием напиток имеет и гастрономическое значение: он обладает приятным вкусом и ароматом, хорошо утоляет жажду. Все это частично обеспечивается поступлением витамина С в достаточных количествах.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Стоимость 1000 мл напитка из плодов шиповника – 5 р. 20 коп. Стоимость 1000 мл компота из свежих яблок – 7 р. 80 коп. В дошкольных учреждениях при замене компота из свежих яблок на напиток из плодов шиповника экономия составила: 2 р. 60 коп. на 1000 мл напитка , тогда как с одной порции напитка, объем которой равен 150 мл, для детей дошкольного возраста экономия составляет 40 коп.</w:t>
      </w:r>
    </w:p>
    <w:p w:rsidR="00B374C7" w:rsidRDefault="00B374C7" w:rsidP="00B374C7">
      <w:pPr>
        <w:spacing w:before="120"/>
        <w:ind w:firstLine="567"/>
        <w:jc w:val="both"/>
      </w:pPr>
      <w:r w:rsidRPr="00B4417A">
        <w:t>Внедрение разработанной нами технологии приготовления напитка позволит эффективно улучшить состояние здоровья детей дошкольного возраста.</w:t>
      </w:r>
    </w:p>
    <w:p w:rsidR="00B374C7" w:rsidRPr="00B4417A" w:rsidRDefault="00B374C7" w:rsidP="00B374C7">
      <w:pPr>
        <w:spacing w:before="120"/>
        <w:jc w:val="center"/>
        <w:rPr>
          <w:b/>
          <w:sz w:val="28"/>
        </w:rPr>
      </w:pPr>
      <w:r w:rsidRPr="00B4417A">
        <w:rPr>
          <w:b/>
          <w:sz w:val="28"/>
        </w:rPr>
        <w:t>Список литературы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Покровский А.А. Химический состав пищевых продуктов. М., 1976.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Ковалев Н.И., Куткина М.Н., Кварцова В.А. Технология приготовления пищи. М.: Деловая литература, 2001.</w:t>
      </w:r>
    </w:p>
    <w:p w:rsidR="00B374C7" w:rsidRPr="00B4417A" w:rsidRDefault="00B374C7" w:rsidP="00B374C7">
      <w:pPr>
        <w:spacing w:before="120"/>
        <w:ind w:firstLine="567"/>
        <w:jc w:val="both"/>
      </w:pPr>
      <w:r w:rsidRPr="00B4417A">
        <w:t>Алексеев Б.Д. Лекарственные растения Северной Осетии: Орджоникидзе, 1958.</w:t>
      </w:r>
    </w:p>
    <w:p w:rsidR="00B374C7" w:rsidRDefault="00B374C7" w:rsidP="00B374C7">
      <w:pPr>
        <w:spacing w:before="120"/>
        <w:ind w:firstLine="567"/>
        <w:jc w:val="both"/>
      </w:pPr>
      <w:r w:rsidRPr="00B4417A">
        <w:t>Основы нефрологии. Под ред. акад. АМН СССР Тареева Е.М. М.: Медицина, т.2. 1972.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4C7"/>
    <w:rsid w:val="00233D5D"/>
    <w:rsid w:val="00811DD4"/>
    <w:rsid w:val="00B374C7"/>
    <w:rsid w:val="00B4417A"/>
    <w:rsid w:val="00D82A4E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81D046-33E2-4186-8BC3-86CB1768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C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74C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B374C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5358</Characters>
  <Application>Microsoft Office Word</Application>
  <DocSecurity>0</DocSecurity>
  <Lines>44</Lines>
  <Paragraphs>12</Paragraphs>
  <ScaleCrop>false</ScaleCrop>
  <Company>Home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настоя шиповника для профилактики заболеваний  мочевыводящих путей</dc:title>
  <dc:subject/>
  <dc:creator>User</dc:creator>
  <cp:keywords/>
  <dc:description/>
  <cp:lastModifiedBy>admin</cp:lastModifiedBy>
  <cp:revision>2</cp:revision>
  <dcterms:created xsi:type="dcterms:W3CDTF">2014-02-20T01:51:00Z</dcterms:created>
  <dcterms:modified xsi:type="dcterms:W3CDTF">2014-02-20T01:51:00Z</dcterms:modified>
</cp:coreProperties>
</file>