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83" w:rsidRDefault="004E3583">
      <w:pPr>
        <w:pStyle w:val="a5"/>
        <w:keepNext w:val="0"/>
        <w:spacing w:before="240"/>
        <w:rPr>
          <w:sz w:val="28"/>
          <w:szCs w:val="28"/>
        </w:rPr>
      </w:pPr>
      <w:r>
        <w:rPr>
          <w:sz w:val="28"/>
          <w:szCs w:val="28"/>
        </w:rPr>
        <w:t>УДК 535.373.2</w:t>
      </w:r>
    </w:p>
    <w:p w:rsidR="004E3583" w:rsidRDefault="004E3583">
      <w:pPr>
        <w:pStyle w:val="a6"/>
        <w:rPr>
          <w:sz w:val="28"/>
          <w:szCs w:val="28"/>
        </w:rPr>
      </w:pPr>
      <w:r>
        <w:rPr>
          <w:sz w:val="28"/>
          <w:szCs w:val="28"/>
        </w:rPr>
        <w:t>А.В. Авдеев, М.В. Ерина</w:t>
      </w:r>
    </w:p>
    <w:p w:rsidR="004E3583" w:rsidRDefault="004E3583">
      <w:pPr>
        <w:pStyle w:val="11"/>
        <w:keepNext w:val="0"/>
        <w:overflowPunct/>
        <w:autoSpaceDE/>
        <w:autoSpaceDN/>
        <w:adjustRightInd/>
        <w:spacing w:line="2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ИЗУЧЕНИЕ ЗАКОНОМЕРНОСТЕЙ РЕАБСОРБЦИИ ИЗЛуЧЕНИЯ ДОНОРА НА ТРИПЛЕТНЫХ МОЛЕКУЛАХ АКЦЕПТОРОВ ЭНЕРГИИ</w:t>
      </w:r>
    </w:p>
    <w:p w:rsidR="004E3583" w:rsidRDefault="004E3583">
      <w:pPr>
        <w:pStyle w:val="aa"/>
        <w:rPr>
          <w:sz w:val="28"/>
          <w:szCs w:val="28"/>
        </w:rPr>
      </w:pPr>
      <w:r>
        <w:rPr>
          <w:sz w:val="28"/>
          <w:szCs w:val="28"/>
        </w:rPr>
        <w:t>Представлены результаты исследования влияния поглощения излучения донора молекулами акцептора в триплетном состоянии на интенсивность фосфоресценции донора энергии в твердых растворах органических соединений. Приведено сопоставление результатов теоретических расчетов с экспериментальными данными, которые хорошо согласуются между собой.</w:t>
      </w:r>
    </w:p>
    <w:p w:rsidR="004E3583" w:rsidRDefault="004E3583">
      <w:pPr>
        <w:pStyle w:val="21"/>
        <w:overflowPunct/>
        <w:autoSpaceDE/>
        <w:autoSpaceDN/>
        <w:adjustRightInd/>
        <w:spacing w:line="2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времени накоплен и обобщен большой теоретический и экспериментальный материал по межмолекулярному триплет-триплетному переносу энергии электронного возбуждения [1,2]. Основные закономерности переноса энергии триплетного возбуждения между молекулами, в большинстве своем, были установлены на основании результатов экспериментального исследования тушения фосфоресценции донора молекулами акцептора в твердых растворах органических соединений. Однако, некоторые особенности фосфоресценции донорно-акцепторных смесей в твердых матрицах к настоящему времени не получили достаточно полного объяснения. Одной из необъясненных до конца особенностей тушения фосфоресценции донора молекулами акцептора [1] является то, что сильное тушение фосфоресценции донора в присутствии молекул акцептора сопровождается лишь незначительным сокращением времени ее затухания. Существенный вклад, на наш взгляд, в уменьшение интенсивности фосфоресценции донора без изменения ее времени затухания может вносить реабсорбция излучения донора на молекулах акцептора в триплетном 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-состоянии. Действительно, в работе [3] было обнаружено поглощение фосфоресценции донора (бензофенона) триплетными молекулами акцептора (нафталина). Однако, закономерности этого явления и его вклад в изменение интенсивности фосфоресценции донора не были исследованы. В настоящей работе установлены и исследованы закономерности реабсорбции фосфоресценции бензофенона (донор энергии) на молекулах дифенила, нафталина и аценафтена (акцепторы энергии), которые позволяют оценить вклад данного явления в изменение интенсивности фосфоресценции донора в присутствии акцептора и определить параметры триплетных молекул акцептора (время их накопления и концентрацию).</w:t>
      </w:r>
    </w:p>
    <w:p w:rsidR="004E3583" w:rsidRDefault="004E3583">
      <w:pPr>
        <w:pStyle w:val="21"/>
        <w:overflowPunct/>
        <w:autoSpaceDE/>
        <w:autoSpaceDN/>
        <w:adjustRightInd/>
        <w:spacing w:line="2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Теория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некоторая часть излучения, возникающая по всему объему образца, регистрируется детектором и в отсутствие поглощения его интенсивность равна </w:t>
      </w:r>
      <w:r w:rsidR="00C75D64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>
            <v:imagedata r:id="rId5" o:title=""/>
          </v:shape>
        </w:pict>
      </w:r>
      <w:r>
        <w:rPr>
          <w:sz w:val="28"/>
          <w:szCs w:val="28"/>
        </w:rPr>
        <w:t>. Тогда, при наличии в образце поглощающих центров, равномерно распределенных по объему, обобщая закон Бугера-Ламберта-Бера [4], имеем:</w:t>
      </w:r>
    </w:p>
    <w:p w:rsidR="004E3583" w:rsidRDefault="004E3583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C75D64">
        <w:rPr>
          <w:position w:val="-26"/>
          <w:sz w:val="28"/>
          <w:szCs w:val="28"/>
        </w:rPr>
        <w:pict>
          <v:shape id="_x0000_i1026" type="#_x0000_t75" style="width:129pt;height:30.75pt">
            <v:imagedata r:id="rId6" o:title=""/>
          </v:shape>
        </w:pi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(1)</w:t>
      </w:r>
    </w:p>
    <w:p w:rsidR="004E3583" w:rsidRDefault="004E358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C75D64">
        <w:rPr>
          <w:position w:val="-4"/>
          <w:sz w:val="28"/>
          <w:szCs w:val="28"/>
        </w:rPr>
        <w:pict>
          <v:shape id="_x0000_i1027" type="#_x0000_t75" style="width:20.25pt;height:15pt">
            <v:imagedata r:id="rId7" o:title=""/>
          </v:shape>
        </w:pict>
      </w:r>
      <w:r>
        <w:rPr>
          <w:sz w:val="28"/>
          <w:szCs w:val="28"/>
        </w:rPr>
        <w:t xml:space="preserve">– регистрируемая интенсивность излучения, </w:t>
      </w:r>
      <w:r w:rsidR="00C75D64">
        <w:rPr>
          <w:position w:val="-6"/>
          <w:sz w:val="28"/>
          <w:szCs w:val="28"/>
        </w:rPr>
        <w:pict>
          <v:shape id="_x0000_i1028" type="#_x0000_t75" style="width:9pt;height:9.75pt">
            <v:imagedata r:id="rId8" o:title=""/>
          </v:shape>
        </w:pict>
      </w:r>
      <w:r>
        <w:rPr>
          <w:sz w:val="28"/>
          <w:szCs w:val="28"/>
        </w:rPr>
        <w:t xml:space="preserve">– молярная концентрация поглощающих центров, </w:t>
      </w:r>
      <w:r w:rsidR="00C75D64">
        <w:rPr>
          <w:position w:val="-10"/>
          <w:sz w:val="28"/>
          <w:szCs w:val="28"/>
        </w:rPr>
        <w:pict>
          <v:shape id="_x0000_i1029" type="#_x0000_t75" style="width:21.75pt;height:15.75pt">
            <v:imagedata r:id="rId9" o:title=""/>
          </v:shape>
        </w:pict>
      </w:r>
      <w:r>
        <w:rPr>
          <w:sz w:val="28"/>
          <w:szCs w:val="28"/>
        </w:rPr>
        <w:t xml:space="preserve">– функция распределения фотонов по длинам проходимым ими в образце, </w:t>
      </w:r>
      <w:r w:rsidR="00C75D64">
        <w:rPr>
          <w:position w:val="-6"/>
          <w:sz w:val="28"/>
          <w:szCs w:val="28"/>
        </w:rPr>
        <w:pict>
          <v:shape id="_x0000_i1030" type="#_x0000_t75" style="width:9pt;height:11.25pt">
            <v:imagedata r:id="rId10" o:title=""/>
          </v:shape>
        </w:pict>
      </w:r>
      <w:r>
        <w:rPr>
          <w:sz w:val="28"/>
          <w:szCs w:val="28"/>
        </w:rPr>
        <w:t>– молярный коэффициент экстинкции.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Формула (1) применима как для стеклообразных, так и для рассеивающих образцов. Вид функции </w:t>
      </w:r>
      <w:r w:rsidR="00C75D64">
        <w:rPr>
          <w:position w:val="-10"/>
          <w:sz w:val="28"/>
          <w:szCs w:val="28"/>
        </w:rPr>
        <w:pict>
          <v:shape id="_x0000_i1031" type="#_x0000_t75" style="width:21.75pt;height:15.75pt">
            <v:imagedata r:id="rId11" o:title=""/>
          </v:shape>
        </w:pict>
      </w:r>
      <w:r>
        <w:rPr>
          <w:sz w:val="28"/>
          <w:szCs w:val="28"/>
        </w:rPr>
        <w:t xml:space="preserve"> определяется условиями эксперимента. Так для стеклообразного образца, когда на детектор попадают световые потоки, излучаемые вдоль оптический оси установки, а излучающие центры равномерно распределены в нем</w:t>
      </w:r>
    </w:p>
    <w:p w:rsidR="004E3583" w:rsidRDefault="004E3583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C75D64">
        <w:rPr>
          <w:position w:val="-32"/>
          <w:sz w:val="28"/>
          <w:szCs w:val="28"/>
        </w:rPr>
        <w:pict>
          <v:shape id="_x0000_i1032" type="#_x0000_t75" style="width:89.25pt;height:38.25pt">
            <v:imagedata r:id="rId12" o:title=""/>
          </v:shape>
        </w:pi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(2)</w:t>
      </w:r>
    </w:p>
    <w:p w:rsidR="004E3583" w:rsidRDefault="004E3583">
      <w:pPr>
        <w:spacing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C75D64">
        <w:rPr>
          <w:position w:val="-6"/>
          <w:sz w:val="28"/>
          <w:szCs w:val="28"/>
        </w:rPr>
        <w:pict>
          <v:shape id="_x0000_i1033" type="#_x0000_t75" style="width:6.75pt;height:12.75pt">
            <v:imagedata r:id="rId13" o:title=""/>
          </v:shape>
        </w:pict>
      </w:r>
      <w:r>
        <w:rPr>
          <w:sz w:val="28"/>
          <w:szCs w:val="28"/>
        </w:rPr>
        <w:t xml:space="preserve">– расстояние от точки в которой рождается фотон до передней грани образца; </w:t>
      </w:r>
      <w:r w:rsidR="00C75D64">
        <w:rPr>
          <w:position w:val="-10"/>
          <w:sz w:val="28"/>
          <w:szCs w:val="28"/>
        </w:rPr>
        <w:pict>
          <v:shape id="_x0000_i1034" type="#_x0000_t75" style="width:11.25pt;height:15.75pt">
            <v:imagedata r:id="rId14" o:title=""/>
          </v:shape>
        </w:pict>
      </w:r>
      <w:r>
        <w:rPr>
          <w:sz w:val="28"/>
          <w:szCs w:val="28"/>
        </w:rPr>
        <w:t>– длина образца.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Полагая, что поглощающими центрами являются молекулы акцептора в триплетном состоянии, концентрация которых после включения возбуждения изменяется по закону</w:t>
      </w:r>
    </w:p>
    <w:p w:rsidR="004E3583" w:rsidRDefault="004E3583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C75D64">
        <w:rPr>
          <w:position w:val="-26"/>
          <w:sz w:val="28"/>
          <w:szCs w:val="28"/>
        </w:rPr>
        <w:pict>
          <v:shape id="_x0000_i1035" type="#_x0000_t75" style="width:108.75pt;height:30.75pt">
            <v:imagedata r:id="rId15" o:title=""/>
          </v:shape>
        </w:pi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(3)</w:t>
      </w:r>
    </w:p>
    <w:p w:rsidR="004E3583" w:rsidRDefault="004E3583">
      <w:pPr>
        <w:spacing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время жизни молекул донора в триплетном состоянии </w:t>
      </w:r>
      <w:r w:rsidR="00C75D64">
        <w:rPr>
          <w:position w:val="-10"/>
          <w:sz w:val="28"/>
          <w:szCs w:val="28"/>
        </w:rPr>
        <w:pict>
          <v:shape id="_x0000_i1036" type="#_x0000_t75" style="width:15pt;height:18pt">
            <v:imagedata r:id="rId16" o:title=""/>
          </v:shape>
        </w:pict>
      </w:r>
      <w:r>
        <w:rPr>
          <w:sz w:val="28"/>
          <w:szCs w:val="28"/>
        </w:rPr>
        <w:t xml:space="preserve"> намного меньше времени жизни молекул акцептора в триплетном состоянии </w:t>
      </w:r>
      <w:r w:rsidR="00C75D64">
        <w:rPr>
          <w:position w:val="-10"/>
          <w:sz w:val="28"/>
          <w:szCs w:val="28"/>
        </w:rPr>
        <w:pict>
          <v:shape id="_x0000_i1037" type="#_x0000_t75" style="width:15pt;height:18pt">
            <v:imagedata r:id="rId17" o:title=""/>
          </v:shape>
        </w:pict>
      </w:r>
      <w:r>
        <w:rPr>
          <w:sz w:val="28"/>
          <w:szCs w:val="28"/>
        </w:rPr>
        <w:t xml:space="preserve">, а интенсивность излучения донора </w:t>
      </w:r>
      <w:r w:rsidR="00C75D64">
        <w:rPr>
          <w:position w:val="-10"/>
          <w:sz w:val="28"/>
          <w:szCs w:val="28"/>
        </w:rPr>
        <w:pict>
          <v:shape id="_x0000_i1038" type="#_x0000_t75" style="width:12.75pt;height:15.75pt">
            <v:imagedata r:id="rId18" o:title=""/>
          </v:shape>
        </w:pict>
      </w:r>
      <w:r>
        <w:rPr>
          <w:sz w:val="28"/>
          <w:szCs w:val="28"/>
        </w:rPr>
        <w:t xml:space="preserve"> есть величина постоянная, выражение (1) после интегрирования с учетом условий (2) и (3) примет следующий вид:</w:t>
      </w:r>
    </w:p>
    <w:p w:rsidR="004E3583" w:rsidRDefault="004E3583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C75D64">
        <w:rPr>
          <w:position w:val="-54"/>
          <w:sz w:val="28"/>
          <w:szCs w:val="28"/>
        </w:rPr>
        <w:pict>
          <v:shape id="_x0000_i1039" type="#_x0000_t75" style="width:203.25pt;height:59.25pt">
            <v:imagedata r:id="rId19" o:title=""/>
          </v:shape>
        </w:pi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(4)</w:t>
      </w:r>
    </w:p>
    <w:p w:rsidR="004E3583" w:rsidRDefault="004E3583">
      <w:pPr>
        <w:spacing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C75D64">
        <w:rPr>
          <w:position w:val="-10"/>
          <w:sz w:val="28"/>
          <w:szCs w:val="28"/>
        </w:rPr>
        <w:pict>
          <v:shape id="_x0000_i1040" type="#_x0000_t75" style="width:51.75pt;height:15.75pt">
            <v:imagedata r:id="rId20" o:title=""/>
          </v:shape>
        </w:pict>
      </w:r>
      <w:r>
        <w:rPr>
          <w:sz w:val="28"/>
          <w:szCs w:val="28"/>
        </w:rPr>
        <w:t>.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Из вышеуказанного следует, что равенство (4) справедливо только в том случае, когда выполняется следующее соотношение:</w:t>
      </w:r>
    </w:p>
    <w:p w:rsidR="004E3583" w:rsidRDefault="004E3583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C75D64">
        <w:rPr>
          <w:position w:val="-10"/>
          <w:sz w:val="28"/>
          <w:szCs w:val="28"/>
        </w:rPr>
        <w:pict>
          <v:shape id="_x0000_i1041" type="#_x0000_t75" style="width:42.75pt;height:18pt">
            <v:imagedata r:id="rId21" o:title=""/>
          </v:shape>
        </w:pi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(5)</w:t>
      </w:r>
    </w:p>
    <w:p w:rsidR="004E3583" w:rsidRDefault="004E3583">
      <w:pPr>
        <w:spacing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Именно такие системы, удовлетворяющие условию (5), чаще всего используются на практике [1], для удобства проведения экспериментальных исследований.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 w:rsidR="00C75D64">
        <w:rPr>
          <w:position w:val="-10"/>
          <w:sz w:val="28"/>
          <w:szCs w:val="28"/>
        </w:rPr>
        <w:pict>
          <v:shape id="_x0000_i1042" type="#_x0000_t75" style="width:15.75pt;height:15.75pt">
            <v:imagedata r:id="rId22" o:title=""/>
          </v:shape>
        </w:pict>
      </w:r>
      <w:r>
        <w:rPr>
          <w:sz w:val="28"/>
          <w:szCs w:val="28"/>
        </w:rPr>
        <w:t xml:space="preserve"> можно оценить, используя следующее экспериментально определяемое отношение:</w:t>
      </w:r>
    </w:p>
    <w:p w:rsidR="004E3583" w:rsidRDefault="004E3583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C75D64">
        <w:rPr>
          <w:position w:val="-28"/>
          <w:sz w:val="28"/>
          <w:szCs w:val="28"/>
        </w:rPr>
        <w:pict>
          <v:shape id="_x0000_i1043" type="#_x0000_t75" style="width:95.25pt;height:33.75pt">
            <v:imagedata r:id="rId23" o:title=""/>
          </v:shape>
        </w:pi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(6)</w:t>
      </w:r>
    </w:p>
    <w:p w:rsidR="004E3583" w:rsidRDefault="004E3583">
      <w:pPr>
        <w:pStyle w:val="21"/>
        <w:overflowPunct/>
        <w:autoSpaceDE/>
        <w:autoSpaceDN/>
        <w:adjustRightInd/>
        <w:spacing w:line="2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Результаты эксперимента и их обсуждение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Экспериментальная проверка формулы (4) проведена на растворе бензофенон + дифенил, в толуоле при 77 K. Бензофенон использовался в качестве донора энергии, а дифенил являлся акцептором. В спектре фосфоресценции бензофенона с помощью монохроматора выделялся для регистрации участок 415–420 нм, который перекрывается спектром триплет-триплетного поглощения дифенила. Возбуждение осуществлялось ртутной лампой ПРК-2 с фильтром 365 нм. Дифенил излучение с данной длинной волны не поглощает. Величина </w:t>
      </w:r>
      <w:r w:rsidR="00C75D64">
        <w:rPr>
          <w:position w:val="-10"/>
          <w:sz w:val="28"/>
          <w:szCs w:val="28"/>
        </w:rPr>
        <w:pict>
          <v:shape id="_x0000_i1044" type="#_x0000_t75" style="width:15.75pt;height:15.75pt">
            <v:imagedata r:id="rId24" o:title=""/>
          </v:shape>
        </w:pict>
      </w:r>
      <w:r>
        <w:rPr>
          <w:sz w:val="28"/>
          <w:szCs w:val="28"/>
        </w:rPr>
        <w:t xml:space="preserve"> рассчитывалась по формуле (6). Время накопления молекул дифенила в триплетном состоянии определялось непосредственно из кинетики разгорания фосфоресценции.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примера на рис. 1 приведена одна из кривых изменения интенсивности фосфоресценции бензофенона, обусловленного реабсорбцией излучения на молекулах дифенила в триплетном состоянии в процессе их накопления. Теоретическая кривая (сплошная линия) построена при значениях </w:t>
      </w:r>
      <w:r w:rsidR="00C75D64">
        <w:rPr>
          <w:position w:val="-10"/>
          <w:sz w:val="28"/>
          <w:szCs w:val="28"/>
        </w:rPr>
        <w:pict>
          <v:shape id="_x0000_i1045" type="#_x0000_t75" style="width:50.25pt;height:15.75pt">
            <v:imagedata r:id="rId25" o:title=""/>
          </v:shape>
        </w:pict>
      </w:r>
      <w:r>
        <w:rPr>
          <w:sz w:val="28"/>
          <w:szCs w:val="28"/>
        </w:rPr>
        <w:t xml:space="preserve"> и </w:t>
      </w:r>
      <w:r w:rsidR="00C75D64">
        <w:rPr>
          <w:position w:val="-10"/>
          <w:sz w:val="28"/>
          <w:szCs w:val="28"/>
        </w:rPr>
        <w:pict>
          <v:shape id="_x0000_i1046" type="#_x0000_t75" style="width:45pt;height:15.75pt">
            <v:imagedata r:id="rId26" o:title=""/>
          </v:shape>
        </w:pict>
      </w:r>
      <w:r>
        <w:rPr>
          <w:sz w:val="28"/>
          <w:szCs w:val="28"/>
        </w:rPr>
        <w:t xml:space="preserve">. При таком значении </w:t>
      </w:r>
      <w:r w:rsidR="00C75D64">
        <w:rPr>
          <w:position w:val="-10"/>
          <w:sz w:val="28"/>
          <w:szCs w:val="28"/>
        </w:rPr>
        <w:pict>
          <v:shape id="_x0000_i1047" type="#_x0000_t75" style="width:12.75pt;height:15.75pt">
            <v:imagedata r:id="rId27" o:title=""/>
          </v:shape>
        </w:pict>
      </w:r>
      <w:r>
        <w:rPr>
          <w:sz w:val="28"/>
          <w:szCs w:val="28"/>
        </w:rPr>
        <w:t xml:space="preserve"> экспериментальные точки наилучшим образом укладываются на теоретическую кривую.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дифенила в растворе (</w:t>
      </w:r>
      <w:r>
        <w:rPr>
          <w:rStyle w:val="a9"/>
          <w:sz w:val="28"/>
          <w:szCs w:val="28"/>
        </w:rPr>
        <w:t>C</w:t>
      </w:r>
      <w:r>
        <w:rPr>
          <w:rStyle w:val="a9"/>
          <w:sz w:val="28"/>
          <w:szCs w:val="28"/>
          <w:vertAlign w:val="subscript"/>
        </w:rPr>
        <w:t>д</w:t>
      </w:r>
      <w:r>
        <w:rPr>
          <w:rStyle w:val="a9"/>
          <w:sz w:val="28"/>
          <w:szCs w:val="28"/>
        </w:rPr>
        <w:t>=0,25 моль/л</w:t>
      </w:r>
      <w:r>
        <w:rPr>
          <w:sz w:val="28"/>
          <w:szCs w:val="28"/>
        </w:rPr>
        <w:t>) равнялась концентрации бензофенона (</w:t>
      </w:r>
      <w:r>
        <w:rPr>
          <w:rStyle w:val="a9"/>
          <w:sz w:val="28"/>
          <w:szCs w:val="28"/>
        </w:rPr>
        <w:t>C</w:t>
      </w:r>
      <w:r>
        <w:rPr>
          <w:rStyle w:val="a9"/>
          <w:sz w:val="28"/>
          <w:szCs w:val="28"/>
          <w:vertAlign w:val="subscript"/>
        </w:rPr>
        <w:t>б</w:t>
      </w:r>
      <w:r>
        <w:rPr>
          <w:rStyle w:val="a9"/>
          <w:sz w:val="28"/>
          <w:szCs w:val="28"/>
        </w:rPr>
        <w:t>=0,25 моль/л</w:t>
      </w:r>
      <w:r>
        <w:rPr>
          <w:sz w:val="28"/>
          <w:szCs w:val="28"/>
        </w:rPr>
        <w:t xml:space="preserve">). При такой концентрации раствора фосфоресценция бензофенона эффективно тушится в результате передачи энергии молекулам дифенила. Это давало возможность определять непосредственно время разгорания фосфоресценции молекул дифенила в триплетном состоянии </w:t>
      </w:r>
      <w:r w:rsidR="00C75D64">
        <w:rPr>
          <w:position w:val="-10"/>
          <w:sz w:val="28"/>
          <w:szCs w:val="28"/>
        </w:rPr>
        <w:pict>
          <v:shape id="_x0000_i1048" type="#_x0000_t75" style="width:12.75pt;height:15.75pt">
            <v:imagedata r:id="rId28" o:title=""/>
          </v:shape>
        </w:pict>
      </w:r>
      <w:r>
        <w:rPr>
          <w:sz w:val="28"/>
          <w:szCs w:val="28"/>
        </w:rPr>
        <w:t xml:space="preserve"> из кинетики разгорания сенсибилизированной фосфоресценции и сравнивать его со значением полученным из кинетики реабсорбции излучения бензофенона. Время накопления </w:t>
      </w:r>
      <w:r w:rsidR="00C75D64">
        <w:rPr>
          <w:position w:val="-10"/>
          <w:sz w:val="28"/>
          <w:szCs w:val="28"/>
        </w:rPr>
        <w:pict>
          <v:shape id="_x0000_i1049" type="#_x0000_t75" style="width:12.75pt;height:15.75pt">
            <v:imagedata r:id="rId29" o:title=""/>
          </v:shape>
        </w:pict>
      </w:r>
      <w:r>
        <w:rPr>
          <w:sz w:val="28"/>
          <w:szCs w:val="28"/>
        </w:rPr>
        <w:t xml:space="preserve">, определенное из кинетики разгорания сенсибилизированной фосфоресценции дифенила равнялось </w:t>
      </w:r>
      <w:r w:rsidR="00C75D64">
        <w:rPr>
          <w:position w:val="-8"/>
          <w:sz w:val="28"/>
          <w:szCs w:val="28"/>
        </w:rPr>
        <w:pict>
          <v:shape id="_x0000_i1050" type="#_x0000_t75" style="width:29.25pt;height:14.25pt">
            <v:imagedata r:id="rId30" o:title=""/>
          </v:shape>
        </w:pict>
      </w:r>
      <w:r>
        <w:rPr>
          <w:sz w:val="28"/>
          <w:szCs w:val="28"/>
        </w:rPr>
        <w:t xml:space="preserve">. Таким образом, разница между значениями </w:t>
      </w:r>
      <w:r w:rsidR="00C75D64">
        <w:rPr>
          <w:position w:val="-10"/>
          <w:sz w:val="28"/>
          <w:szCs w:val="28"/>
        </w:rPr>
        <w:pict>
          <v:shape id="_x0000_i1051" type="#_x0000_t75" style="width:12.75pt;height:15.75pt">
            <v:imagedata r:id="rId31" o:title=""/>
          </v:shape>
        </w:pict>
      </w:r>
      <w:r>
        <w:rPr>
          <w:sz w:val="28"/>
          <w:szCs w:val="28"/>
        </w:rPr>
        <w:t>, полученными двумя независимыми способами, не превышала 2% от данной величины.</w:t>
      </w:r>
    </w:p>
    <w:p w:rsidR="004E3583" w:rsidRDefault="00C75D64">
      <w:pPr>
        <w:spacing w:line="220" w:lineRule="atLeast"/>
        <w:rPr>
          <w:rStyle w:val="a9"/>
          <w:sz w:val="28"/>
          <w:szCs w:val="28"/>
        </w:rPr>
      </w:pPr>
      <w:r>
        <w:rPr>
          <w:noProof/>
        </w:rPr>
        <w:pict>
          <v:shape id="_x0000_s1026" type="#_x0000_t75" style="position:absolute;margin-left:0;margin-top:0;width:200.5pt;height:164.5pt;z-index:251658240;mso-position-horizontal:center" o:allowoverlap="f">
            <v:imagedata r:id="rId32" o:title=""/>
            <w10:wrap type="topAndBottom"/>
          </v:shape>
        </w:pict>
      </w:r>
      <w:r w:rsidR="004E3583">
        <w:rPr>
          <w:rStyle w:val="a9"/>
          <w:sz w:val="28"/>
          <w:szCs w:val="28"/>
        </w:rPr>
        <w:t>Рис. 1. Кинетика изменения регистрируемой интенсивности фосфоресценции бензофенона в результате реабсорбции на триплетных молекулах дифенила в процессе их накопления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Подставляя значения </w:t>
      </w:r>
      <w:r w:rsidR="00C75D64">
        <w:rPr>
          <w:position w:val="-10"/>
          <w:sz w:val="28"/>
          <w:szCs w:val="28"/>
        </w:rPr>
        <w:pict>
          <v:shape id="_x0000_i1052" type="#_x0000_t75" style="width:12.75pt;height:15.75pt">
            <v:imagedata r:id="rId33" o:title=""/>
          </v:shape>
        </w:pict>
      </w:r>
      <w:r>
        <w:rPr>
          <w:sz w:val="28"/>
          <w:szCs w:val="28"/>
        </w:rPr>
        <w:t xml:space="preserve"> в известную формулу для определения стационарной концентрации молекул в Т-состоянии [5,6], основанную на измерениях времен накопления </w:t>
      </w:r>
      <w:r w:rsidR="00C75D64">
        <w:rPr>
          <w:position w:val="-10"/>
          <w:sz w:val="28"/>
          <w:szCs w:val="28"/>
        </w:rPr>
        <w:pict>
          <v:shape id="_x0000_i1053" type="#_x0000_t75" style="width:12.75pt;height:15.75pt">
            <v:imagedata r:id="rId34" o:title=""/>
          </v:shape>
        </w:pict>
      </w:r>
      <w:r>
        <w:rPr>
          <w:sz w:val="28"/>
          <w:szCs w:val="28"/>
        </w:rPr>
        <w:t xml:space="preserve"> и распада </w:t>
      </w:r>
      <w:r w:rsidR="00C75D64">
        <w:rPr>
          <w:position w:val="-14"/>
          <w:sz w:val="28"/>
          <w:szCs w:val="28"/>
        </w:rPr>
        <w:pict>
          <v:shape id="_x0000_i1054" type="#_x0000_t75" style="width:12.75pt;height:18pt">
            <v:imagedata r:id="rId35" o:title=""/>
          </v:shape>
        </w:pict>
      </w:r>
      <w:r>
        <w:rPr>
          <w:sz w:val="28"/>
          <w:szCs w:val="28"/>
        </w:rPr>
        <w:t xml:space="preserve"> триплетных возбуждений</w:t>
      </w:r>
    </w:p>
    <w:p w:rsidR="004E3583" w:rsidRDefault="004E3583">
      <w:pPr>
        <w:tabs>
          <w:tab w:val="center" w:pos="4536"/>
          <w:tab w:val="right" w:pos="9356"/>
        </w:tabs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C75D64">
        <w:rPr>
          <w:position w:val="-26"/>
          <w:sz w:val="28"/>
          <w:szCs w:val="28"/>
        </w:rPr>
        <w:pict>
          <v:shape id="_x0000_i1055" type="#_x0000_t75" style="width:84pt;height:30.75pt">
            <v:imagedata r:id="rId36" o:title=""/>
          </v:shape>
        </w:pi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(7)</w:t>
      </w:r>
    </w:p>
    <w:p w:rsidR="004E3583" w:rsidRDefault="004E3583">
      <w:pPr>
        <w:spacing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C75D64">
        <w:rPr>
          <w:position w:val="-6"/>
          <w:sz w:val="28"/>
          <w:szCs w:val="28"/>
        </w:rPr>
        <w:pict>
          <v:shape id="_x0000_i1056" type="#_x0000_t75" style="width:12.75pt;height:12.75pt">
            <v:imagedata r:id="rId37" o:title=""/>
          </v:shape>
        </w:pict>
      </w:r>
      <w:r>
        <w:rPr>
          <w:sz w:val="28"/>
          <w:szCs w:val="28"/>
        </w:rPr>
        <w:t xml:space="preserve">– концентрация молекул в растворе, была определена относительная заселенность триплетного уровня молекул  дифенила </w:t>
      </w:r>
      <w:r w:rsidR="00C75D64">
        <w:rPr>
          <w:position w:val="-26"/>
          <w:sz w:val="28"/>
          <w:szCs w:val="28"/>
        </w:rPr>
        <w:pict>
          <v:shape id="_x0000_i1057" type="#_x0000_t75" style="width:68.25pt;height:30.75pt">
            <v:imagedata r:id="rId38" o:title=""/>
          </v:shape>
        </w:pict>
      </w:r>
      <w:r>
        <w:rPr>
          <w:sz w:val="28"/>
          <w:szCs w:val="28"/>
        </w:rPr>
        <w:t>. Результаты этих измерений в пределах ошибки измерения совпадают со значениями данных величин, определенных независимо из кинетики разгорания фосфоресценции дифенила</w:t>
      </w:r>
      <w:r w:rsidR="00C75D64">
        <w:rPr>
          <w:position w:val="-26"/>
          <w:sz w:val="28"/>
          <w:szCs w:val="28"/>
        </w:rPr>
        <w:pict>
          <v:shape id="_x0000_i1058" type="#_x0000_t75" style="width:69pt;height:30.75pt">
            <v:imagedata r:id="rId39" o:title=""/>
          </v:shape>
        </w:pict>
      </w:r>
      <w:r>
        <w:rPr>
          <w:sz w:val="28"/>
          <w:szCs w:val="28"/>
        </w:rPr>
        <w:t>.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Подобные результаты были нами получены и для двух других пар: бензофенон + нафталин и бензофенон + аценафтен при 77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, растворителем в этих системах также был толуол.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Следует особо подчеркнуть, что наличие реабсорбции излучения молекул донора на триплетных молекулах акцептора может стать причиной ошибки при определении эффективности преобразования энергии электронного возбуждения, безызлучательно передающейся акцептору, в излучение сенсибилизированной фосфоресценции. Данная величина определяется графически [7] из соотношения площадей под спектром сенсибилизированной фосфоресценции и разницы площадей спектров фосфоресценции донора в отсутствие и в присутствии молекул акцептора в растворе.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рис. 2 приведен спектр фосфоресценции смеси бензофенон + дифенил в толуоле при 77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при возбуждении лампой ПРК-2 в полосу поглощения бензофенона (</w:t>
      </w:r>
      <w:r w:rsidR="00C75D64">
        <w:rPr>
          <w:position w:val="-10"/>
          <w:sz w:val="28"/>
          <w:szCs w:val="28"/>
        </w:rPr>
        <w:pict>
          <v:shape id="_x0000_i1059" type="#_x0000_t75" style="width:57pt;height:15.75pt">
            <v:imagedata r:id="rId40" o:title=""/>
          </v:shape>
        </w:pict>
      </w:r>
      <w:r>
        <w:rPr>
          <w:sz w:val="28"/>
          <w:szCs w:val="28"/>
        </w:rPr>
        <w:t>) без ослабления и после ослабления светового потока в 10 раз.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рис. 2 относительная интенсивность фосфоресценции донора (полоса 1) в сравнении с интенсивностью фосфоресценции акцептора (полоса 2) заметно зависит от мощности возбуждения. Такое изменение обусловлено зависимостью концентрации триплетных молекул дифенила (акцептора), а следовательно, и коэффициента реабсорбции от интенсивности возбуждающего света. Поэтому графическое определение эффективности преобразования энергии электронного возбуждения, безызлучательно передающейся акцептору в сенсибилизированную фосфоресценцию, в данном случае, дает различные значения этой величины при </w:t>
      </w:r>
      <w:r w:rsidR="00C75D64">
        <w:rPr>
          <w:position w:val="-10"/>
          <w:sz w:val="28"/>
          <w:szCs w:val="28"/>
        </w:rPr>
        <w:pict>
          <v:shape id="_x0000_i1060" type="#_x0000_t75" style="width:42pt;height:15.75pt">
            <v:imagedata r:id="rId41" o:title=""/>
          </v:shape>
        </w:pict>
      </w:r>
      <w:r>
        <w:rPr>
          <w:sz w:val="28"/>
          <w:szCs w:val="28"/>
        </w:rPr>
        <w:t xml:space="preserve"> и </w:t>
      </w:r>
      <w:r w:rsidR="00C75D64">
        <w:rPr>
          <w:position w:val="-10"/>
          <w:sz w:val="28"/>
          <w:szCs w:val="28"/>
        </w:rPr>
        <w:pict>
          <v:shape id="_x0000_i1061" type="#_x0000_t75" style="width:54pt;height:15.75pt">
            <v:imagedata r:id="rId42" o:title=""/>
          </v:shape>
        </w:pict>
      </w:r>
      <w:r>
        <w:rPr>
          <w:sz w:val="28"/>
          <w:szCs w:val="28"/>
        </w:rPr>
        <w:t>, хотя данная величина не зависит от мощности возбуждения [7]. Следовательно, определение эффективности преобразования энергии электронного возбуждения, безызлучательно передающейся акцептору в сенсибилизированную фосфоресценцию графически можно выполнять в отсутствие реабсорбции излучения, либо нужно учитывать потери квантовой интенсивности фосфоресценции донора за счет реабсорбции излучения на триплетных молекулах акцепторов.</w:t>
      </w:r>
    </w:p>
    <w:p w:rsidR="004E3583" w:rsidRDefault="004E3583">
      <w:pPr>
        <w:pStyle w:val="a8"/>
        <w:rPr>
          <w:rStyle w:val="a9"/>
          <w:sz w:val="28"/>
          <w:szCs w:val="28"/>
        </w:rPr>
      </w:pPr>
    </w:p>
    <w:p w:rsidR="004E3583" w:rsidRDefault="00C75D64">
      <w:pPr>
        <w:pStyle w:val="a8"/>
        <w:rPr>
          <w:rStyle w:val="a9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63pt;margin-top:3.7pt;width:350.1pt;height:259.15pt;z-index:251657216">
            <v:imagedata r:id="rId43" o:title=""/>
            <w10:wrap type="topAndBottom"/>
          </v:shape>
        </w:pict>
      </w:r>
      <w:r w:rsidR="004E3583">
        <w:rPr>
          <w:rStyle w:val="a9"/>
          <w:sz w:val="28"/>
          <w:szCs w:val="28"/>
        </w:rPr>
        <w:t>Рис. 2. Спектр фосфоресценции смеси бензофенон + дифенил в толуоле при 77 K. C</w:t>
      </w:r>
      <w:r w:rsidR="004E3583">
        <w:rPr>
          <w:rStyle w:val="a9"/>
          <w:sz w:val="28"/>
          <w:szCs w:val="28"/>
          <w:vertAlign w:val="subscript"/>
        </w:rPr>
        <w:t>б</w:t>
      </w:r>
      <w:r w:rsidR="004E3583">
        <w:rPr>
          <w:rStyle w:val="a9"/>
          <w:sz w:val="28"/>
          <w:szCs w:val="28"/>
        </w:rPr>
        <w:t>=C</w:t>
      </w:r>
      <w:r w:rsidR="004E3583">
        <w:rPr>
          <w:rStyle w:val="a9"/>
          <w:sz w:val="28"/>
          <w:szCs w:val="28"/>
          <w:vertAlign w:val="subscript"/>
        </w:rPr>
        <w:t>д</w:t>
      </w:r>
      <w:r w:rsidR="004E3583">
        <w:rPr>
          <w:rStyle w:val="a9"/>
          <w:sz w:val="28"/>
          <w:szCs w:val="28"/>
        </w:rPr>
        <w:t>=0,25 М (спектр нормирован на интенсивность фосфоресценции дифенила). Сплошная линия – спектр фосфоресценции смеси без ослабления мощности возбуждения, пунктирная линия – мощность возбуждения ослаблена в 10 раз</w:t>
      </w:r>
    </w:p>
    <w:p w:rsidR="004E3583" w:rsidRDefault="004E3583">
      <w:pPr>
        <w:pStyle w:val="21"/>
        <w:overflowPunct/>
        <w:autoSpaceDE/>
        <w:autoSpaceDN/>
        <w:adjustRightInd/>
        <w:spacing w:line="2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исследования показано, что существенный вклад в изменение интенсивности фосфоресценции донора энергии может вносить реабсорбция его излучения на молекулах акцептора в триплетном 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-состоянии. Этот факт необходимо учитывать при экспериментальном определении параметров переноса энергии триплетного возбуждения по тушению фосфоресценции донора в присутствии молекул акцептора.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Установленная в работе закономерность изменения интенсивности фосфоресценции донора, обусловленная поглощением его излучения молекулами акцептора в триплетном состоянии в процессе их накопления, позволяет определять время накопления, а следовательно, и концентрацию последних.</w:t>
      </w: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</w:p>
    <w:p w:rsidR="004E3583" w:rsidRDefault="004E3583">
      <w:pPr>
        <w:spacing w:line="22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выполнена в рамках федеральной целевой научно-технической программы «Исследования и разработки по приоритетным направлениям развития науки и техники» на 2002-2006 годы, государственный контракт №02.438.11.7001.</w:t>
      </w:r>
    </w:p>
    <w:p w:rsidR="004E3583" w:rsidRDefault="004E3583">
      <w:pPr>
        <w:pStyle w:val="-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4E3583" w:rsidRDefault="004E3583">
      <w:pPr>
        <w:pStyle w:val="-0"/>
        <w:numPr>
          <w:ilvl w:val="0"/>
          <w:numId w:val="7"/>
        </w:numPr>
        <w:tabs>
          <w:tab w:val="clear" w:pos="0"/>
          <w:tab w:val="num" w:pos="-1620"/>
        </w:tabs>
        <w:rPr>
          <w:sz w:val="28"/>
          <w:szCs w:val="28"/>
        </w:rPr>
      </w:pPr>
      <w:r>
        <w:rPr>
          <w:rStyle w:val="-1"/>
          <w:sz w:val="28"/>
          <w:szCs w:val="28"/>
        </w:rPr>
        <w:t>Ермолаев В.Л., Бодунов Е.Н., Свешникова Е.Н., Шахвердов Т.Н.</w:t>
      </w:r>
      <w:r>
        <w:rPr>
          <w:sz w:val="28"/>
          <w:szCs w:val="28"/>
        </w:rPr>
        <w:t xml:space="preserve"> Безызлучательный перенос энергии электронного возбуждения. – Л.: Наука, 1977. – 311 с.</w:t>
      </w:r>
    </w:p>
    <w:p w:rsidR="004E3583" w:rsidRDefault="004E3583">
      <w:pPr>
        <w:pStyle w:val="-0"/>
        <w:numPr>
          <w:ilvl w:val="0"/>
          <w:numId w:val="7"/>
        </w:numPr>
        <w:tabs>
          <w:tab w:val="clear" w:pos="0"/>
        </w:tabs>
        <w:rPr>
          <w:sz w:val="28"/>
          <w:szCs w:val="28"/>
        </w:rPr>
      </w:pPr>
      <w:r>
        <w:rPr>
          <w:rStyle w:val="-1"/>
          <w:sz w:val="28"/>
          <w:szCs w:val="28"/>
        </w:rPr>
        <w:t>Багнич С.А.</w:t>
      </w:r>
      <w:r>
        <w:rPr>
          <w:sz w:val="28"/>
          <w:szCs w:val="28"/>
        </w:rPr>
        <w:t xml:space="preserve"> // Физика твердого тела. – 2000. – Т.42, №10. – С. 1729–1756.</w:t>
      </w:r>
    </w:p>
    <w:p w:rsidR="004E3583" w:rsidRDefault="004E3583">
      <w:pPr>
        <w:pStyle w:val="-0"/>
        <w:numPr>
          <w:ilvl w:val="0"/>
          <w:numId w:val="7"/>
        </w:numPr>
        <w:tabs>
          <w:tab w:val="clear" w:pos="0"/>
          <w:tab w:val="num" w:pos="-1620"/>
        </w:tabs>
        <w:rPr>
          <w:sz w:val="28"/>
          <w:szCs w:val="28"/>
          <w:lang w:val="en-US"/>
        </w:rPr>
      </w:pPr>
      <w:r>
        <w:rPr>
          <w:rStyle w:val="-1"/>
          <w:sz w:val="28"/>
          <w:szCs w:val="28"/>
          <w:lang w:val="en-US"/>
        </w:rPr>
        <w:t>Terenin A.N., Ermolaev V.L.</w:t>
      </w:r>
      <w:r>
        <w:rPr>
          <w:sz w:val="28"/>
          <w:szCs w:val="28"/>
          <w:lang w:val="en-US"/>
        </w:rPr>
        <w:t xml:space="preserve"> // Trans. Faradey. Soc. – 1956. – V.52, №494. – P. 1042–1052.</w:t>
      </w:r>
    </w:p>
    <w:p w:rsidR="004E3583" w:rsidRDefault="004E3583">
      <w:pPr>
        <w:pStyle w:val="-0"/>
        <w:numPr>
          <w:ilvl w:val="0"/>
          <w:numId w:val="7"/>
        </w:numPr>
        <w:tabs>
          <w:tab w:val="clear" w:pos="0"/>
          <w:tab w:val="num" w:pos="-1620"/>
        </w:tabs>
        <w:rPr>
          <w:sz w:val="28"/>
          <w:szCs w:val="28"/>
        </w:rPr>
      </w:pPr>
      <w:r>
        <w:rPr>
          <w:rStyle w:val="-1"/>
          <w:sz w:val="28"/>
          <w:szCs w:val="28"/>
        </w:rPr>
        <w:t>Гребенщиков Д.М., Дерябин М.И., Колосов А.К., Голубин М.А.</w:t>
      </w:r>
      <w:r>
        <w:rPr>
          <w:sz w:val="28"/>
          <w:szCs w:val="28"/>
        </w:rPr>
        <w:t xml:space="preserve"> // Журнал прикладной спектроскопии. – 1987. – Т.46, №2. – С. 323–325.</w:t>
      </w:r>
    </w:p>
    <w:p w:rsidR="004E3583" w:rsidRDefault="004E3583">
      <w:pPr>
        <w:pStyle w:val="-0"/>
        <w:numPr>
          <w:ilvl w:val="0"/>
          <w:numId w:val="7"/>
        </w:numPr>
        <w:tabs>
          <w:tab w:val="clear" w:pos="0"/>
          <w:tab w:val="num" w:pos="-1620"/>
        </w:tabs>
        <w:rPr>
          <w:sz w:val="28"/>
          <w:szCs w:val="28"/>
        </w:rPr>
      </w:pPr>
      <w:r>
        <w:rPr>
          <w:rStyle w:val="-1"/>
          <w:sz w:val="28"/>
          <w:szCs w:val="28"/>
        </w:rPr>
        <w:t>Голубин М.А., Дерябин М.И., Куликова О.И.</w:t>
      </w:r>
      <w:r>
        <w:rPr>
          <w:sz w:val="28"/>
          <w:szCs w:val="28"/>
        </w:rPr>
        <w:t xml:space="preserve"> // Известия вузов. Северо-Кавказский регион. Естественные науки. – 1998. – №1. – С. 52–55.</w:t>
      </w:r>
    </w:p>
    <w:p w:rsidR="004E3583" w:rsidRDefault="004E3583">
      <w:pPr>
        <w:pStyle w:val="-0"/>
        <w:numPr>
          <w:ilvl w:val="0"/>
          <w:numId w:val="7"/>
        </w:numPr>
        <w:tabs>
          <w:tab w:val="clear" w:pos="0"/>
        </w:tabs>
        <w:rPr>
          <w:sz w:val="28"/>
          <w:szCs w:val="28"/>
        </w:rPr>
      </w:pPr>
      <w:r>
        <w:rPr>
          <w:rStyle w:val="-1"/>
          <w:sz w:val="28"/>
          <w:szCs w:val="28"/>
        </w:rPr>
        <w:t>Алфимов М.В., Бубен Н.Я., Приступа А.Н. Шамшев В.Н.</w:t>
      </w:r>
      <w:r>
        <w:rPr>
          <w:sz w:val="28"/>
          <w:szCs w:val="28"/>
        </w:rPr>
        <w:t xml:space="preserve"> // Оптика и спектроскопия. – 1966. – Т.20, №3. – С. 424–426.</w:t>
      </w:r>
    </w:p>
    <w:p w:rsidR="004E3583" w:rsidRDefault="004E3583">
      <w:pPr>
        <w:pStyle w:val="-0"/>
        <w:numPr>
          <w:ilvl w:val="0"/>
          <w:numId w:val="7"/>
        </w:numPr>
        <w:tabs>
          <w:tab w:val="clear" w:pos="0"/>
        </w:tabs>
        <w:rPr>
          <w:sz w:val="28"/>
          <w:szCs w:val="28"/>
        </w:rPr>
      </w:pPr>
      <w:r>
        <w:rPr>
          <w:rStyle w:val="-1"/>
          <w:sz w:val="28"/>
          <w:szCs w:val="28"/>
        </w:rPr>
        <w:t>Ермолаев В.Л.</w:t>
      </w:r>
      <w:r>
        <w:rPr>
          <w:sz w:val="28"/>
          <w:szCs w:val="28"/>
        </w:rPr>
        <w:t xml:space="preserve"> // Успехи физических наук. – 1963. – Т.80, №1. – С. 3–40.</w:t>
      </w:r>
      <w:bookmarkStart w:id="0" w:name="_GoBack"/>
      <w:bookmarkEnd w:id="0"/>
    </w:p>
    <w:sectPr w:rsidR="004E3583">
      <w:pgSz w:w="11906" w:h="16838" w:code="9"/>
      <w:pgMar w:top="1531" w:right="1418" w:bottom="1134" w:left="1134" w:header="113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F551A"/>
    <w:multiLevelType w:val="hybridMultilevel"/>
    <w:tmpl w:val="1D78E1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A3935"/>
    <w:multiLevelType w:val="hybridMultilevel"/>
    <w:tmpl w:val="8A3CABA0"/>
    <w:lvl w:ilvl="0" w:tplc="7344702E">
      <w:start w:val="1"/>
      <w:numFmt w:val="decimal"/>
      <w:lvlText w:val="%1."/>
      <w:lvlJc w:val="right"/>
      <w:pPr>
        <w:tabs>
          <w:tab w:val="num" w:pos="0"/>
        </w:tabs>
        <w:ind w:left="397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3A070E"/>
    <w:multiLevelType w:val="multilevel"/>
    <w:tmpl w:val="CA046F0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22895"/>
    <w:multiLevelType w:val="hybridMultilevel"/>
    <w:tmpl w:val="2024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82243E"/>
    <w:multiLevelType w:val="hybridMultilevel"/>
    <w:tmpl w:val="2C5E5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120B7"/>
    <w:multiLevelType w:val="hybridMultilevel"/>
    <w:tmpl w:val="65B4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C44534"/>
    <w:multiLevelType w:val="hybridMultilevel"/>
    <w:tmpl w:val="37368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C565B1"/>
    <w:multiLevelType w:val="multilevel"/>
    <w:tmpl w:val="E742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B1540D"/>
    <w:multiLevelType w:val="multilevel"/>
    <w:tmpl w:val="E1D2EBB4"/>
    <w:lvl w:ilvl="0">
      <w:start w:val="1"/>
      <w:numFmt w:val="decimal"/>
      <w:lvlText w:val="%1."/>
      <w:lvlJc w:val="right"/>
      <w:pPr>
        <w:tabs>
          <w:tab w:val="num" w:pos="0"/>
        </w:tabs>
        <w:ind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mirrorMargins/>
  <w:revisionView w:markup="0"/>
  <w:doNotTrackMoves/>
  <w:doNotTrackFormatting/>
  <w:defaultTabStop w:val="709"/>
  <w:autoHyphenation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2D9"/>
    <w:rsid w:val="003742D9"/>
    <w:rsid w:val="004E3583"/>
    <w:rsid w:val="008F7A44"/>
    <w:rsid w:val="00C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77496589-1AAD-400B-AEF3-CE69C7C7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3">
    <w:name w:val="индекс УДК"/>
    <w:basedOn w:val="a"/>
    <w:uiPriority w:val="9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caps/>
      <w:sz w:val="20"/>
      <w:szCs w:val="20"/>
    </w:rPr>
  </w:style>
  <w:style w:type="paragraph" w:customStyle="1" w:styleId="a4">
    <w:name w:val="Авторы статьи"/>
    <w:basedOn w:val="a"/>
    <w:uiPriority w:val="99"/>
    <w:pPr>
      <w:suppressAutoHyphens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</w:pPr>
    <w:rPr>
      <w:i/>
      <w:iCs/>
      <w:caps/>
      <w:sz w:val="20"/>
      <w:szCs w:val="20"/>
    </w:rPr>
  </w:style>
  <w:style w:type="paragraph" w:customStyle="1" w:styleId="11">
    <w:name w:val="Заголовок1"/>
    <w:basedOn w:val="a"/>
    <w:next w:val="a"/>
    <w:uiPriority w:val="99"/>
    <w:pPr>
      <w:keepNext/>
      <w:keepLines/>
      <w:suppressLineNumbers/>
      <w:suppressAutoHyphens/>
      <w:overflowPunct w:val="0"/>
      <w:autoSpaceDE w:val="0"/>
      <w:autoSpaceDN w:val="0"/>
      <w:adjustRightInd w:val="0"/>
      <w:spacing w:before="120" w:after="180" w:line="240" w:lineRule="atLeast"/>
      <w:jc w:val="center"/>
      <w:textAlignment w:val="baseline"/>
    </w:pPr>
    <w:rPr>
      <w:b/>
      <w:bCs/>
      <w:caps/>
    </w:rPr>
  </w:style>
  <w:style w:type="paragraph" w:customStyle="1" w:styleId="21">
    <w:name w:val="Заголовок2"/>
    <w:basedOn w:val="a"/>
    <w:next w:val="a"/>
    <w:uiPriority w:val="99"/>
    <w:pPr>
      <w:keepNext/>
      <w:keepLines/>
      <w:suppressAutoHyphens/>
      <w:overflowPunct w:val="0"/>
      <w:autoSpaceDE w:val="0"/>
      <w:autoSpaceDN w:val="0"/>
      <w:adjustRightInd w:val="0"/>
      <w:spacing w:before="180" w:after="120" w:line="240" w:lineRule="atLeast"/>
      <w:jc w:val="center"/>
      <w:textAlignment w:val="baseline"/>
    </w:pPr>
    <w:rPr>
      <w:b/>
      <w:bCs/>
    </w:rPr>
  </w:style>
  <w:style w:type="paragraph" w:customStyle="1" w:styleId="a5">
    <w:name w:val="УДК"/>
    <w:basedOn w:val="a"/>
    <w:next w:val="a"/>
    <w:uiPriority w:val="99"/>
    <w:pPr>
      <w:keepNext/>
      <w:widowControl w:val="0"/>
      <w:spacing w:before="1080" w:line="220" w:lineRule="atLeast"/>
    </w:pPr>
    <w:rPr>
      <w:caps/>
      <w:sz w:val="18"/>
      <w:szCs w:val="18"/>
    </w:rPr>
  </w:style>
  <w:style w:type="paragraph" w:customStyle="1" w:styleId="a6">
    <w:name w:val="Авторы"/>
    <w:basedOn w:val="a"/>
    <w:next w:val="1"/>
    <w:uiPriority w:val="99"/>
    <w:pPr>
      <w:suppressAutoHyphens/>
      <w:spacing w:before="120" w:line="220" w:lineRule="atLeast"/>
      <w:jc w:val="center"/>
    </w:pPr>
    <w:rPr>
      <w:i/>
      <w:iCs/>
      <w:caps/>
      <w:sz w:val="18"/>
      <w:szCs w:val="18"/>
    </w:rPr>
  </w:style>
  <w:style w:type="paragraph" w:customStyle="1" w:styleId="a7">
    <w:name w:val="Формула"/>
    <w:basedOn w:val="a"/>
    <w:uiPriority w:val="99"/>
    <w:pPr>
      <w:tabs>
        <w:tab w:val="center" w:pos="4536"/>
        <w:tab w:val="right" w:pos="9356"/>
      </w:tabs>
      <w:spacing w:before="40" w:after="40" w:line="220" w:lineRule="atLeast"/>
      <w:jc w:val="both"/>
    </w:pPr>
    <w:rPr>
      <w:sz w:val="22"/>
      <w:szCs w:val="22"/>
    </w:rPr>
  </w:style>
  <w:style w:type="paragraph" w:customStyle="1" w:styleId="a8">
    <w:name w:val="Обычный б/отступа"/>
    <w:basedOn w:val="a"/>
    <w:uiPriority w:val="99"/>
    <w:pPr>
      <w:widowControl w:val="0"/>
      <w:spacing w:line="220" w:lineRule="atLeast"/>
      <w:jc w:val="both"/>
    </w:pPr>
    <w:rPr>
      <w:sz w:val="22"/>
      <w:szCs w:val="22"/>
    </w:rPr>
  </w:style>
  <w:style w:type="paragraph" w:customStyle="1" w:styleId="-">
    <w:name w:val="Лит-заголовок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180" w:after="120" w:line="200" w:lineRule="exact"/>
      <w:jc w:val="center"/>
      <w:textAlignment w:val="baseline"/>
    </w:pPr>
    <w:rPr>
      <w:caps/>
      <w:sz w:val="20"/>
      <w:szCs w:val="20"/>
    </w:rPr>
  </w:style>
  <w:style w:type="paragraph" w:customStyle="1" w:styleId="-0">
    <w:name w:val="Лит-список"/>
    <w:basedOn w:val="a"/>
    <w:uiPriority w:val="99"/>
    <w:pPr>
      <w:overflowPunct w:val="0"/>
      <w:autoSpaceDE w:val="0"/>
      <w:autoSpaceDN w:val="0"/>
      <w:adjustRightInd w:val="0"/>
      <w:ind w:left="340" w:hanging="340"/>
      <w:jc w:val="both"/>
      <w:textAlignment w:val="baseline"/>
    </w:pPr>
    <w:rPr>
      <w:sz w:val="20"/>
      <w:szCs w:val="20"/>
    </w:rPr>
  </w:style>
  <w:style w:type="character" w:customStyle="1" w:styleId="-1">
    <w:name w:val="Лит-авторы"/>
    <w:uiPriority w:val="99"/>
    <w:rPr>
      <w:spacing w:val="40"/>
      <w:sz w:val="20"/>
      <w:szCs w:val="20"/>
    </w:rPr>
  </w:style>
  <w:style w:type="character" w:customStyle="1" w:styleId="a9">
    <w:name w:val="Рис_подпись"/>
    <w:uiPriority w:val="99"/>
    <w:rPr>
      <w:sz w:val="18"/>
      <w:szCs w:val="18"/>
    </w:rPr>
  </w:style>
  <w:style w:type="paragraph" w:customStyle="1" w:styleId="aa">
    <w:name w:val="Аннотация"/>
    <w:basedOn w:val="a"/>
    <w:next w:val="a"/>
    <w:uiPriority w:val="99"/>
    <w:pPr>
      <w:spacing w:after="180" w:line="200" w:lineRule="atLeast"/>
      <w:ind w:left="567" w:firstLine="454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e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535</vt:lpstr>
    </vt:vector>
  </TitlesOfParts>
  <Company>home</Company>
  <LinksUpToDate>false</LinksUpToDate>
  <CharactersWithSpaces>10319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535</dc:title>
  <dc:subject/>
  <dc:creator>Amedeo</dc:creator>
  <cp:keywords/>
  <dc:description/>
  <cp:lastModifiedBy>admin</cp:lastModifiedBy>
  <cp:revision>2</cp:revision>
  <cp:lastPrinted>2006-01-17T12:57:00Z</cp:lastPrinted>
  <dcterms:created xsi:type="dcterms:W3CDTF">2014-02-22T23:55:00Z</dcterms:created>
  <dcterms:modified xsi:type="dcterms:W3CDTF">2014-02-22T23:55:00Z</dcterms:modified>
</cp:coreProperties>
</file>