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D1" w:rsidRPr="00C0510E" w:rsidRDefault="00A46DD1" w:rsidP="00A46DD1">
      <w:pPr>
        <w:spacing w:before="120"/>
        <w:jc w:val="center"/>
        <w:rPr>
          <w:rFonts w:ascii="Times New Roman" w:hAnsi="Times New Roman"/>
          <w:b/>
          <w:sz w:val="32"/>
        </w:rPr>
      </w:pPr>
      <w:r w:rsidRPr="00C0510E">
        <w:rPr>
          <w:rFonts w:ascii="Times New Roman" w:hAnsi="Times New Roman"/>
          <w:b/>
          <w:sz w:val="32"/>
        </w:rPr>
        <w:t>К вопросу о переводе интертекста</w:t>
      </w:r>
    </w:p>
    <w:p w:rsidR="00A46DD1" w:rsidRPr="00C0510E" w:rsidRDefault="00A46DD1" w:rsidP="00A46DD1">
      <w:pPr>
        <w:spacing w:before="120"/>
        <w:jc w:val="center"/>
        <w:rPr>
          <w:rFonts w:ascii="Times New Roman" w:hAnsi="Times New Roman"/>
          <w:sz w:val="28"/>
        </w:rPr>
      </w:pPr>
      <w:r w:rsidRPr="00C0510E">
        <w:rPr>
          <w:rFonts w:ascii="Times New Roman" w:hAnsi="Times New Roman"/>
          <w:sz w:val="28"/>
        </w:rPr>
        <w:t>Л.Б. Бойко</w:t>
      </w:r>
    </w:p>
    <w:p w:rsidR="00A46DD1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Затрагиваются проблемы перевода интертекста. Делается попытка смоделировать процесс трансляции ассоциаций в инокультурный семиозис на основе вычленения опорных информационных узлов прецедентного текста. Целью такого моделирования является установление культурных параллелей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позволит определиться с выбором стратегии перевода в зависимости от типа прототекста.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Интертекстуальность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основе которой лежит явление прецедентности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занимает умы литературоведов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лингвистов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культурологов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философов не первое десятилетие уже как сформулированный Ю. Кристевой концепт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существование свое ведет и вовсе с незапамятных времен. Понимание интертекстуальности как «общего свойства текстов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выражающегося в наличии между ними связей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благодаря которым тексты (или их части) могут многими разнообразными способами явно или неявно ссылаться друг на друга» было в дальнейшем многократно расширено и дополнено [цит. по: 9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9]. 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Ю. Степанов делает важное дополнение о способности интертекста к индукции и абстракции в своей трактовке интертекста как «понятия прегнативного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«набухающего»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вбирающего в себя признаки смежных понятий и способного концентрировать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кристаллизовать напрашивающиеся на обобщение признаки соседствующих сфер информационного мира» [9. c. 102]. Удачно найденная метафора «палимпсеста» [14] как нельзя лучше рисует образ интертекста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создающего ощущение новизны и свежести мысли на фоне полустертого старого знания. Художественно сильнее звучит только скептическое замечание Г. Амелина по отношению к насаждаемой вездесущности интертекста: он предлагает в таком случае считать аллегорией 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героиня одной из лучших новелл Боккаччо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«легши с 10000 мужчин»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конце блистательною речью доказывает жениху свою девственность [1].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Механизм восприятия интертекста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очевидно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движим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среди прочих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психологическими рычагами. Вероятно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реципиенту приятно сознавать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апеллируя к его фоновым знаниям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автор сообщения уважает его осведомленность и рассчитывает на способность домысливать. В когнитивном плане происходит как бы синхронизация мыслительной деятельности автора и читателя: реципиент не просто потребляет информацию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и «соучаствует» в генерировании смыслов. Как отмечает Н.А. Фатеева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автор музыкального термина ‘контрапункт’ в приложении к интертексту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«это способ генезиса собственного текста и постулирования собственного поэтического «Я» через сложную систему отношений оппозиций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идентификации и маскировки с текстами других авторов» [13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13].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Если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говоря о языке и речи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считать всю нашу языковую деятельность интертекстуальной по природе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пронизанной блоками-цитатами из предыдущего языкового опыта или из конгломерата нашей языковой памяти [2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119; 14]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 не удивительно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при межъязыковом переводе мы всегда имеем дело с переводом межкультурным. Это становится очевидным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 наблюдении — особенно в контрастивном плане — за лексическими дистрибуциями и логическими моделями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лежащими в их основе [10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5]. Как готовые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вновь создаваемые речевые отрезки отражают в своей семантике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синтактике и прагматике миропонимание носителя языка. В этих коммуникативных фрагментах (термин Б. Гаспарова)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которыми мы оперируем в речи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зафиксирован результат работы когнитивного механизма национального языка.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Человек проживает свою жизнь в культурном контексте многообразных прецедентных феноменов — не только языковых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— которые хранятся в когнитивной базе в виде инвариантов восприятия и могут быть при необходимости вербализованы [6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171]. Д. Гудков подразделяет прецедентные феномены на авто-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социумно-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национально- и универсально-прецедентные [3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104]. Такая систематизация явлений прецедентности позволяет предсказать эффективность их актуализации в интертексте: 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автопрецедентная ситуация при воспроизведении сможет вызывать должные ассоциации только у весьма ограниченного круга людей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кругу семьи. Естественно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диапазон ассоциативного воздействия и потенциальной генерации новых смыслов тем больше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чем больший круг людей знаком с тем или иным явлением. 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естественно ограниченным оказывается и ассоциативный потенциал социумно- и национально-прецедентных явлений. Д. Гудков вспоминает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в студенческие годы они смеялись над найденной шпаргалкой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начинавшейся словами «Пушкин — великий русский поэт 1-й 1/3 XIX века…» [3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99]. Для русского национального сознания эта информация до смешного избыточна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для представителя любой другой культуры может быть вполне релевантной.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Человеческая память хранит штампы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выявляют свой «рисунок» только при активном участии речетворца: это он решает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 какой фон нанести рисунок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чтобы достичь желаемого результата. При этом автору небезразлична целевая аудитория. Примером может служить первый попавшийся «бородатый» анекдот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юмористический эффект которого основан на разделенном знании и устойчивости ассоциаций. (Новый русский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читая имя поэта на памятнике Пушкину: «”Муму” кто написал?» — «Тургенев». — «А почему памятник Пушкину поставили?») Ассоциирование рассказа Тургенева с начальной школой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дальше которой не пошел новый русский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с первыми сильными впечатлениями ребенка от прочитанного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также символичность имени Пушкина как универсального концепта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известного всем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кроме героя анекдота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позволяют проиллюстрировать стереотип ограниченного человека. Между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пучке ассоциаций «Муму» есть множество других знакомых всем русским составляющих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остались невостребованными в данном интертекстуальном эпизоде. Для иноязычного слушателя придется сочинить новый анекдот.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Новые смыслы рождаются благодаря механизму установления связей между прецедентным феноменом и новым контекстом его реализации. Поскольку прецедентный феномен входит в когнитивную базу в результате минимизации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вычленения весьма ограниченного набора признаков феномена [3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130]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 он легко фиксируется в памяти человека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обретая черты гештальта и обрастая устойчивыми ассоциативными связями. Разные культуры пользуются разными механизмами минимизации тех существенных черт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в результате формируют архетип. Результирующий оценочный компонент отнюдь не всегда совпадает в разных культурах. Именно поэтому не все народы готовы оценить любовь русских к Ивану-дураку или лентяю Емеле.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Явление интертекста работает благодаря способности человека узнавать прецедентную информацию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отбирать релевантные устойчивые ассоциации и генерировать новые смыслы. Говоря современным языком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интертекст интерактивен. Устойчивые ассоциации способно вызывать только нечто хорошо узнаваемое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закрепившееся в памяти. В ситуации интертекста ассоциации имеют особенность не просто реализовывать метареференцию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создавать новое знание или впечатление. Вне конкретной ситуации пучок ассоциаций остается лишь потенциалом прецедентного 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нужные ассоциации вызываются к действию лишь по мере надобности. Психологически человек готов к потреблению «хорошо забытого старого» как нового. Интертекстуальные блоки запускают в сознании получателя механизм герменевтического толкования полученной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даже если реминисценции звучат как отголоски чего-то невнятно знакомого. Особенно это заметно на примере чувственных ассоциаций — узнаваемых ритмов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мелодических рисунков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синестетических восприятий. На этом приеме строятся столь популярные интерпретации и реинтерпретации во всех областях культуры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музыке — музыкальные шутки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джазовые вариации классики; в живописи тоже таких примеров не счесть. Установление ассоциативных связей часто происходит на основе лишь смутных догадок относительно источника заимствования.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Еще одной особенностью интертекста является его свойство работать как гипертекст. При этом наше понимание гипертекста отличается от предложенного Женеттом (гипертекст — осмеяние и пародирование одним текстом другого). Интертекст скорее напоминает нелинейный [6] компьютерный гипертекст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где один текст порождает цепную реакцию почти бесконечных ссылок к другим.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Н. Кузьмина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автор синергетического подхода к исследуемому явлению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утверждает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интертекст в целом находится в состоянии хаоса и творчество есть процесс перехода от хаоса к порядку. «Чтобы этот процесс осуществился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интертекст должен обладать некоторой энергией. Энергия текста складывается из суммы энергий прототекста (прототекстов) и автора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выступают в качестве источников энергии. Создание нового текста (метатекста) описывается как энергетический резонанс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возникающий между автором и прототекстом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результате которого происходит спонтанный выброс энергии-материи по стреле времени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знаменующий рождение нового текста» [7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98]. Такая «физическая» метафора рождения интертекста не совсем убедительна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как трудно представить сложение энергий текста (материального объекта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продукта мыслительной деятельности человека) и автора (физического существа). Думается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за термином «энергия» стоят как раз те хранящиеся в коллективной памяти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редуцированные до наиболее существенных элементы смысла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легко воспроизводятся и обладают набором ассоциаций. Нельзя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однако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 согласиться с автором этой теории в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именно в интертексте происходит упорядочивание прецедентной информации [7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98]. Справедливо и 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уже даже читатель такого текста в оригинале выполняет функцию интерпретатора или переводчика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несмотря на монокультурную и моноязычную среду извлечения информации.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Для переводчика интертекст чаще всего становится почти непреодолимой проблемой. Не стоит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пожалуй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кривить душой и настаивать на принципе тотальной переводимости. В переводе вообще нет готовых решений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однако методы компенсации и замены позволяют частично найти утешение в этом искусстве потерь. В случае же с интертекстом аллюзивность становится масштабной и новые смыслы генерируются на уровне целого текста или отрезка текста. Главное препятствие заключается в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переводить с одного языка на другой приходится для чужой относительно оригинала культуры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это значит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национально-прецедентные интексты становятся непроницаемыми для иноязычного реципиента.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Какие бы работы по переводу интертекстуальных фрагментов мы ни взяли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них в лучшем случае рассматриваются удачные случаи перевода; большей же частью исследователи ограничиваются констатацией потерь при переводе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лишь подтверждая тщетность попыток переводчиков преодолеть культурные барьеры. Одной из целей исследования интертекста в аспекте перевода может стать выявление некоторых закономерностей в установлении культурных параллелей. Это позволит определиться с выбором стратегии перевода в зависимости от типа прототекста. Суть обсуждаемой здесь стратегии перевода интертекстуальных фрагментов заключается в попытке смоделировать процесс трансляции ассоциаций в инокультурный семиозис. Такого рода моделирование идет по пути вычленения опорных информационных узлов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семантических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прагматических. Иными словами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это тот же процесс минимизации смыслов с целью обнаружить то типическое (прототипическое)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позволит отыскать аналог прецедентного феномена в переводящей культуре. Применение этой стратегии возможно только в тех случаях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интертекстуальный фрагмент основан на универсально прецедентном феномене (теме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ситуации)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обладающем одинаковым или схожим эмоционально-оценочным компонентом в переводной и переводящей культурах.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Н. Кузьмина полагает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стратегия переводчика при передаче прототекстов сводится к тому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чтобы воспроизвести прототексты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общие для двух культур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создать мнимые прототексты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сохранив то напряжение между ними [7]. Г. Денисова вычленяет такие продуктивные приемы перевода интертекстуальных фрагментов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адаптация и остранение [4]. Рассмотрим механизм адаптации (которая могла бы называться и замещением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или заменой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аналогии с лексической заменой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реконструкцией).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Богатый материал предоставляет творчество Т. Толстой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которое с большим трудом поддается трансляции в другую культуру. Существующие переводы на английский язык ее рассказов и романа «Кысь» [11] не дают представления о глубине всех тех культурных пластов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лежат в основе мировидения автора. В вышедших в США сборниках рассказов Т. Толстой читатель не найдет перевода рассказа «Сюжет»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практически целиком построенного на отсылках к фактам русской культуры и непрямом цитировании. Роман «Кысь» написан в форме сказа и уже поэтому интертекстуален. Не только цитирование национально-прецедентных текстов составляет сложность в переводе (материальная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вербализованная сторона интертекстуальности)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и отсылки к национально-прецедентным феноменам. 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романе «Кысь» вожделенные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коварные огнецы не просто выдуманные вкусные плоды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часть русской картины мира — страсть русских к собиранию грибов и ягод (кстати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ежегодно приводящая к трагедиям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и в случае с матерью Бенедикта). ‘Голубчики’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транслитерированные в переводе [16]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 сообщают англоязычному читателю унизительно-покровительственного отношения к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кого так называют. И почему «на запад тоже не ходи» понятно лишь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кто знает историю русской эмиграции; и выдача товара со Склада — не просто картинка из страшного будущего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аллюзия к знакомой ситуации с распределителями и очередями из прошлого. 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прецедентная ситуация оказывается более сложной для передачи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чем лексический блок. Смыслы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порождаемые отсылками к прецедентным явлениям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гораздо богаче суммы значений слов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составляющих текст.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Обратимся к отдельным примерам из перевода рассказа Татьяны Толстой «Река Оккервиль» [12]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котором одинокий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скромный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средних лет переводчик (Симеонов) безнадежно влюблен в уже давно постаревшую и ныне безвестную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хотя в прошлом популярную исполнительницу романсов. Все повествование пронизано цитатами из известного романса «Отцвели уж давно хризантемы в саду». Переводчик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явно пренебрегая аллюзивным значением романса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центральный образ которого и является метафорой уже нежизнеспособного чувства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придерживается принципа семантического перевода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добросовестно передавая содержание вкрапленных цитатных фрагментов [15].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…Нет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 его так пылко любила Вера Васильевна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все-таки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сущности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только его одного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это у них было взаимно…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…No, it wasn’t he whom Vera Vasilevna loved so passionately, but still, essentially, she loved only him, and it was mutual…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…И снова слушал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томясь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 отцветших давно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щщщ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хризантемах в саду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щщщ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где они с нею встретились…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…And listened once more, longing for the long-faded, pshsts, chrysanthemums in the garden, pshsts, where they had met…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… впрочем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их запах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белый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сухой и горький — это осенний запах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он уже заранее предвещает осень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разлуку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забвение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любовь все еще живет в моем сердце больном…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…well, actually, their white, dry, and bitter aroma is an autumnal one, a harbinger of fall separation, oblivion, but love still lives in my ailing heart…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Он купил хризантем на рынке — мелких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желтых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обернутых в целлофан. Отцвели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уж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давно</w:t>
      </w:r>
      <w:r w:rsidRPr="00D95230">
        <w:rPr>
          <w:rFonts w:ascii="Times New Roman" w:hAnsi="Times New Roman"/>
          <w:sz w:val="24"/>
          <w:lang w:val="en-US"/>
        </w:rPr>
        <w:t>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  <w:lang w:val="en-US"/>
        </w:rPr>
        <w:t xml:space="preserve">He bought chrysanthemums at the market — tiny yellow ones wrapped in cellophane. </w:t>
      </w:r>
      <w:r w:rsidRPr="00D95230">
        <w:rPr>
          <w:rFonts w:ascii="Times New Roman" w:hAnsi="Times New Roman"/>
          <w:sz w:val="24"/>
        </w:rPr>
        <w:t>Long faded. (Курсив везде мой. — Л.Б.).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Звукоподражательное pshsts во втором примере не оставляет сомнений в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какая-то часть фразы звучит с заигранной пластинки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однако в переводе это остается единственным сигналом. В оригинале же это описание жизни героя словами старого знакомого романса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шипение патефонной иглы — это часть потока сознания. Здесь мы имеем дело с таким типом прототекста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обладает некоторыми универсальными и существенными чертами: вне национально-культурных границ общими для большинства культур являются песенный жанр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узнаваемость песни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тема былого чувства и цветов. Эти параметры позволяют поискать аналогию в другой культуре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чтобы органичной частью повествования стали слова из песни близкого содержания. Пользуясь приемом реконструкции или замещения (адаптации в терминологии Г. Денисовой) прототекстов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можно взять тексты песен из репертуара британской певицы 60-х годов Дасти Спрингфилд в качестве материала для воссоздания мнимых прототекстов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частности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If you go away (Если ты уйдешь…) и Broken Blossoms (Поникшие цветы). Получим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следующие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варианты</w:t>
      </w:r>
      <w:r w:rsidRPr="00D95230">
        <w:rPr>
          <w:rFonts w:ascii="Times New Roman" w:hAnsi="Times New Roman"/>
          <w:sz w:val="24"/>
          <w:lang w:val="en-US"/>
        </w:rPr>
        <w:t>: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а</w:t>
      </w:r>
      <w:r w:rsidRPr="00D95230">
        <w:rPr>
          <w:rFonts w:ascii="Times New Roman" w:hAnsi="Times New Roman"/>
          <w:sz w:val="24"/>
          <w:lang w:val="en-US"/>
        </w:rPr>
        <w:t>) …No, they won’t sail the sun, or ride on the rain, or talk to the trees; though, actually they will — he will return again — oh, he’ll really do! — for what good is love without loving Vera Vasilevna…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б</w:t>
      </w:r>
      <w:r w:rsidRPr="00D95230">
        <w:rPr>
          <w:rFonts w:ascii="Times New Roman" w:hAnsi="Times New Roman"/>
          <w:sz w:val="24"/>
          <w:lang w:val="en-US"/>
        </w:rPr>
        <w:t>) …And listened again longing for all the birds in the summer sky, pshsts, when their love was new, pshsts, and their hearts were high…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в</w:t>
      </w:r>
      <w:r w:rsidRPr="00D95230">
        <w:rPr>
          <w:rFonts w:ascii="Times New Roman" w:hAnsi="Times New Roman"/>
          <w:sz w:val="24"/>
          <w:lang w:val="en-US"/>
        </w:rPr>
        <w:t>) A wind of fall, separation, oblivion… And Vera Vasilevna flies away, and all the good is gone… And I walk where once the grass was green…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г</w:t>
      </w:r>
      <w:r w:rsidRPr="00D95230">
        <w:rPr>
          <w:rFonts w:ascii="Times New Roman" w:hAnsi="Times New Roman"/>
          <w:sz w:val="24"/>
          <w:lang w:val="en-US"/>
        </w:rPr>
        <w:t xml:space="preserve">) He bought the flowers at the market — tiny yellow ones wrapped in cellophane. </w:t>
      </w:r>
      <w:r w:rsidRPr="00D95230">
        <w:rPr>
          <w:rFonts w:ascii="Times New Roman" w:hAnsi="Times New Roman"/>
          <w:sz w:val="24"/>
        </w:rPr>
        <w:t>Broken blossoms.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Данные фрагменты легко узнаваемых в англоязычном мире прототекстов легко вписываются в семиотический универсум английской культуры и вполне сохраняют то напряжение между интертекстуальными полюсами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которое существует в тексте-оригинале. Несмотря на то что при переводе утерянными оказались мотив хризантем как ботанического вида и их печальная символика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это несущественно влияет на эстетическую функцию вновь созданного интертекста. В нашу задачу входило моделирование поиска аналога: вычленение элементарных и наиболее существенных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этнически неокрашенных составляющих прецедентного текста с целью поиска текста с такими же составляющими в культуре языка перевода. Эта проблема не всегда решается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однако в данном типе прототекста с универсальной компонентой ее решение вполне реально.</w:t>
      </w:r>
    </w:p>
    <w:p w:rsidR="00A46DD1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За переводчиком справедливо признается право на применение таких макростратегий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стратегия кооперации (концептуальное сотрудничество с автором оригинала)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стратегии аналогии и стилизации (достижение функционально-эстетической аналогии перевода оригиналу)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также стратегии пертинентности и тесно связанных с ней стратегий разъяснения и аппроксимации; стратегия креативности и даже стратегии конкурентности [8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c. 86]. Если даже список и не бесспорен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он в полной мере отражает отчаянные попытки переводчика прорваться через лингвокультурные барьеры к иноязычному сознанию. Стратегия переводчика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поисках которой здесь предпринята попытка смоделировать процесс поиска ‘общего знаменателя’ для прецедентного текста и его заместителя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явно входит в разряд креативных. Остается лишь пожалеть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применение стратегии не гарантирует результата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дает переводчику и читателю шанс.</w:t>
      </w:r>
    </w:p>
    <w:p w:rsidR="00A46DD1" w:rsidRPr="00C0510E" w:rsidRDefault="00A46DD1" w:rsidP="00A46DD1">
      <w:pPr>
        <w:spacing w:before="120"/>
        <w:jc w:val="center"/>
        <w:rPr>
          <w:rFonts w:ascii="Times New Roman" w:hAnsi="Times New Roman"/>
          <w:b/>
          <w:sz w:val="28"/>
        </w:rPr>
      </w:pPr>
      <w:r w:rsidRPr="00C0510E">
        <w:rPr>
          <w:rFonts w:ascii="Times New Roman" w:hAnsi="Times New Roman"/>
          <w:b/>
          <w:sz w:val="28"/>
        </w:rPr>
        <w:t>Список литературы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Амелин Г. Поминки по интертекстуальности: Лекция 13: http://magazines.russ.ru/novyi_mi/filos/lec/content.html.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Гаспаров Б.М. Язык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память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образ. Лингвистика языкового существования.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1996.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Гудков Д.Б. Теория и практика межкультурной коммуникации.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2003.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Денисова Г. Интертекстуальность и семиотика перевода: возможности и способы передачи интекста // Текст. Интертекст. Культура.: Сб. докладов междунар. науч. конференции.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2001.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Карымова М.Г. Гипертекст в философии постмодернизма // Вестник ТюмГУ.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2002.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Красных В.В. «Свой» среди «чужих»: миф или реальность?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2003.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Кузьмина Н.А. Феномен художественного перевода в свете теории интертекста // Текст. Интертекст. Культура.: Сб. докладов междунар. науч. конференции.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2001.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Макарова Л.С. Прагматические модификации художественной информации в переводе // Вестник МГУ. Сер. Филология. 2004. №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1.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Степанов Ю.С. Интертекст и некоторые современные расширения лингвистики // Языкознание: взгляд в будущее. Калининград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2002.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Тер-Минасова С.Г. Словосочетание в научно-лингвистическом и дидактическом аспектах.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2004.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Толстая Т.Н. Кысь.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2000.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Толстая Т.Н. Любишь — не любишь. 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1997.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13.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Фатеева Н.А. Контрапункт интертекстуальности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или Интертекст в мире текстов.М.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2000.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14. Genette G. Palimpsests. </w:t>
      </w:r>
      <w:smartTag w:uri="urn:schemas-microsoft-com:office:smarttags" w:element="place">
        <w:smartTag w:uri="urn:schemas-microsoft-com:office:smarttags" w:element="PlaceType">
          <w:r w:rsidRPr="00D95230">
            <w:rPr>
              <w:rFonts w:ascii="Times New Roman" w:hAnsi="Times New Roman"/>
              <w:sz w:val="24"/>
              <w:lang w:val="en-US"/>
            </w:rPr>
            <w:t>Univ.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 of </w:t>
        </w:r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Nebraska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 xml:space="preserve"> Press, 1997.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15. Tolstaya </w:t>
      </w:r>
      <w:r w:rsidRPr="00D95230">
        <w:rPr>
          <w:rFonts w:ascii="Times New Roman" w:hAnsi="Times New Roman"/>
          <w:sz w:val="24"/>
        </w:rPr>
        <w:t>Т</w:t>
      </w:r>
      <w:r w:rsidRPr="00D95230">
        <w:rPr>
          <w:rFonts w:ascii="Times New Roman" w:hAnsi="Times New Roman"/>
          <w:sz w:val="24"/>
          <w:lang w:val="en-US"/>
        </w:rPr>
        <w:t>. On the Golden Porch. (tr-ted by A.W. Bouis) Vintage, 1990.</w:t>
      </w:r>
    </w:p>
    <w:p w:rsidR="00A46DD1" w:rsidRPr="00D95230" w:rsidRDefault="00A46DD1" w:rsidP="00A46DD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16. Tolstaya </w:t>
      </w:r>
      <w:r w:rsidRPr="00D95230">
        <w:rPr>
          <w:rFonts w:ascii="Times New Roman" w:hAnsi="Times New Roman"/>
          <w:sz w:val="24"/>
        </w:rPr>
        <w:t>Т</w:t>
      </w:r>
      <w:r w:rsidRPr="00D95230">
        <w:rPr>
          <w:rFonts w:ascii="Times New Roman" w:hAnsi="Times New Roman"/>
          <w:sz w:val="24"/>
          <w:lang w:val="en-US"/>
        </w:rPr>
        <w:t>. The Slynx. http://www.chron.com/cs/CDA/ssistory.mpl/ae/ books/ch1/1852755.</w:t>
      </w:r>
    </w:p>
    <w:p w:rsidR="00811DD4" w:rsidRPr="00A46DD1" w:rsidRDefault="00811DD4">
      <w:bookmarkStart w:id="0" w:name="_GoBack"/>
      <w:bookmarkEnd w:id="0"/>
    </w:p>
    <w:sectPr w:rsidR="00811DD4" w:rsidRPr="00A46DD1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DD1"/>
    <w:rsid w:val="001A35F6"/>
    <w:rsid w:val="002916F3"/>
    <w:rsid w:val="00811DD4"/>
    <w:rsid w:val="00870D14"/>
    <w:rsid w:val="00A46DD1"/>
    <w:rsid w:val="00A560D5"/>
    <w:rsid w:val="00C0510E"/>
    <w:rsid w:val="00D95230"/>
    <w:rsid w:val="00E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1184CE-ADBD-4835-9B52-5D717819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D1"/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6D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переводе интертекста</vt:lpstr>
    </vt:vector>
  </TitlesOfParts>
  <Company>Home</Company>
  <LinksUpToDate>false</LinksUpToDate>
  <CharactersWithSpaces>19829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переводе интертекста</dc:title>
  <dc:subject/>
  <dc:creator>User</dc:creator>
  <cp:keywords/>
  <dc:description/>
  <cp:lastModifiedBy>admin</cp:lastModifiedBy>
  <cp:revision>2</cp:revision>
  <dcterms:created xsi:type="dcterms:W3CDTF">2014-02-20T05:18:00Z</dcterms:created>
  <dcterms:modified xsi:type="dcterms:W3CDTF">2014-02-20T05:18:00Z</dcterms:modified>
</cp:coreProperties>
</file>