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04" w:rsidRPr="005B69A0" w:rsidRDefault="00A96304" w:rsidP="00A96304">
      <w:pPr>
        <w:spacing w:before="120"/>
        <w:jc w:val="center"/>
        <w:rPr>
          <w:b/>
          <w:sz w:val="32"/>
        </w:rPr>
      </w:pPr>
      <w:r w:rsidRPr="005B69A0">
        <w:rPr>
          <w:b/>
          <w:sz w:val="32"/>
        </w:rPr>
        <w:t>Количественная модель распространения Интернета в России</w:t>
      </w:r>
    </w:p>
    <w:p w:rsidR="00A96304" w:rsidRPr="005B69A0" w:rsidRDefault="00A96304" w:rsidP="00A96304">
      <w:pPr>
        <w:spacing w:before="120"/>
        <w:jc w:val="center"/>
        <w:rPr>
          <w:sz w:val="28"/>
        </w:rPr>
      </w:pPr>
      <w:r w:rsidRPr="005B69A0">
        <w:rPr>
          <w:sz w:val="28"/>
        </w:rPr>
        <w:t>Делицын Леонид, МГУКИ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Исследователи мнений и поведения жителей стран с высоким уровнем развития Интернета получают в распоряжение инновационный инструмент, расширяющий спектр их возможностей при одновременном снижении издержек. Так называемый цифровой разрыв, проявляющийся в углублении пропасти в использовании информационно-телекоммуникационных технологий между богатыми и бедными странами и регионами, создает очевидные конкурентные преимущества исследовательским организациям развитых стран. Определенный урон от цифрового разрыва получают и заказчики онлайн исследований, поскольку продавец последних, как правило, не делает акцента на значительном смещении используемой выборки. В частности, при помощи доступных статистических показателей (таких как количество дней месяца, в каждый из которых пользователь обнаруживал себя в Сети) несложно продемонстрировать, что популярные сегодня в России онлайн панели, измеряющие численность и состав пользователей крупных интернет-ресурсов, не репрезентируют даже среднего пользователя Интернета, а представляют лишь наиболее активных пользователей, не отличаясь в этом отношении от тривиальных онлайн опросов. Иными словами, даже если средний член такой панели похож на среднего интернетчика по полу, возрасту, доходу и некоторым другим характеристикам, он отличается уже тем, что пользуется Сетью почти каждый день, то есть заметно чаще, чем средний пользователь.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Сказанное делает актуальной проблему прогнозирования распространения Интернета в России, поскольку лишь при достижении российскими показателями проникновения «европейского» (или «московского») уровня удастся создать соответствие между выборками, используемыми при онлайн исследованиях, и совокупностями, которые такие выборки должны репрезентировать.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В период начинающейся рецессии, которая может оказаться затяжной, оказываются бесполезными прогнозы распространения Интернета в России, основанные на аналогии с европейскими странами, где основная фаза процесса пришлась на период интернет-бума и экономической стабильности. В то время как распространяющаяся крупная инновация, какой является Интернет, сравнительно малочувствительна к экономическим циклам (многие полагают, что, напротив, крупные инновации и лежат в основе экономических циклов), в России потенциал распространения этого нововведения, сравнительно дорогого для массового потребителя, по-видимому, ограничен численностью среднего класса. В период роста благосостояния населения рос и потенциал распространения Интернета, однако в период рецессии рост потенциала прекращается, причем не на уровне 80–90% населения. Последний существенно зависит от возраста, дохода и места проживания граждан, что в итоге приводит к стагнации проникновения Сети на уровне 30–35%, как это наблюдалось в латиноамериканских странах в начале XXI века. В таком случае Интернет на несколько лет остается своего рода кварталом для молодых и обеспеченных горожан, а старшему поколению, в особенности бедным и одиноким сельским жителям, остается ждать следующей технологической революции.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Бесполезными оказываются и прогнозы распространения Интернета, построенные на основе классических трехпараметрических логистических моделей [1; 2], поскольку они основаны на модели полностью однородного и связного общества («клики»). Такое приближение является слишком грубым для длительных процессов, протекающих в существенно дифференцированном обществе.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Простое обновление параметров моделей распространения нововведений по мере поступления новых данных не всегда приводит к корректным результатам. В частности, данные опросов фонда «Общественное мнение» (ФОМ) об использовании россиянами Интернета в 2002–2007 гг. точнее всего описывает трехпараметрическая логистическая модель с весьма низким потенциалом распространения среди взрослых россиян — 34% [2]. Однако уже в </w:t>
      </w:r>
      <w:smartTag w:uri="urn:schemas-microsoft-com:office:smarttags" w:element="metricconverter">
        <w:smartTagPr>
          <w:attr w:name="ProductID" w:val="2006 г"/>
        </w:smartTagPr>
        <w:r w:rsidRPr="00F71B3C">
          <w:t>2006 г</w:t>
        </w:r>
      </w:smartTag>
      <w:r w:rsidRPr="00F71B3C">
        <w:t xml:space="preserve">. более 50% россиян в возрасте 18–24 лет пользовались Интернетом. Таким образом, предсказанный моделью однородного общества потенциал распространения в 34% подразумевает, что значительная часть россиян, взрослея, полностью отказывается от использования Интернета. Такой вывод не подтверждается наблюдениями.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В настоящей работе предложена количественная модель распространения Интернета в России, параметры которых идентифицируются при помощи данных социологических опросов ФОМ и ВЦИОМ, что позволяет построить среднесрочный прогноз динамики показателей исследуемого процесса.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Отметим, что, по данным опросов ВЦИОМ, проведенных в сентябре и ноябре </w:t>
      </w:r>
      <w:smartTag w:uri="urn:schemas-microsoft-com:office:smarttags" w:element="metricconverter">
        <w:smartTagPr>
          <w:attr w:name="ProductID" w:val="2008 г"/>
        </w:smartTagPr>
        <w:r w:rsidRPr="00F71B3C">
          <w:t>2008 г</w:t>
        </w:r>
      </w:smartTag>
      <w:r w:rsidRPr="00F71B3C">
        <w:t xml:space="preserve">, доля пользователей Интернета среди взрослых россиян (в возрасте 18 лет и старше) составила от 31 до 35%. По данным ФОМ, собранным осенью </w:t>
      </w:r>
      <w:smartTag w:uri="urn:schemas-microsoft-com:office:smarttags" w:element="metricconverter">
        <w:smartTagPr>
          <w:attr w:name="ProductID" w:val="2008 г"/>
        </w:smartTagPr>
        <w:r w:rsidRPr="00F71B3C">
          <w:t>2008 г</w:t>
        </w:r>
      </w:smartTag>
      <w:r w:rsidRPr="00F71B3C">
        <w:t xml:space="preserve">, полная взрослая аудитория также достигла уровня 30% [3]. В частности, для возрастной группы от 18 до 24 лет проникновение Интернета, по данным как ВЦИОМ, так и ФОМ, составило 63%.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Важным фактором будущего роста распространения Интернета стало подключение в 2006–2008 гг. всех российских школ к Сети в рамках национального проекта «Образование». В случае продолжения действия этой программы в ближайшие годы российские выпускники будут вступать во взрослую жизнь, обладая навыками использования Интернета. В благоприятных экономических условиях от применения этого нововведения молодые россияне уже вряд ли откажутся.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При построении прогнозов распространения Интернета в России учитываются историческая динамика этого процесса, возрастная структура общества, рождаемость и смертность. Уравнения одностадийного процесса распространения нововведений с учетом взросления, рождаемости и смертности, которые можно рассматривать как частный случай общих уравнений социальной динамики, приводятся нами в работе [4].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Пусть непрерывная переменная π соответствует дате рождения индивидуума. Совокупность индивидуумов, рожденных в момент π будем называть поколением. Кроме того, разделим общество на два однородных непересекающихся сегмента по полу (мужчины и женщины).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Специфика одностадийных моделей распространения нововведений, выделяющая их среди общих моделей социальной динамики, проявляется в том, что в каждый момент времени t каждый i-й сегмент каждого поколения π разбивается на три непересекающихся подмножества в зависимости от использования нововведения. Численности этих подмножеств удовлетворяют уравнению: </w:t>
      </w:r>
    </w:p>
    <w:p w:rsidR="00A96304" w:rsidRPr="00F71B3C" w:rsidRDefault="00BE3648" w:rsidP="00A9630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7.25pt">
            <v:imagedata r:id="rId4" o:title=""/>
          </v:shape>
        </w:pic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где Xi(t, π), Yi(t, π), Zi(t, π) — численности существующих пользователей, потенциальных пользователей и представителей «недоступного» подмножества — тех, кто никогда не станет использовать нововведение. Многостадийные модели распространения требуют выделения большего числа подмножеств.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Как правило, при исследованиях диффузии нововведений численность подмножеств не оценивают заранее, а вычисляют в ходе оценивания параметров модели. Иногда к их оценке можно привлечь дополнительную информацию или экспертные оценки. (В частности, по данным ФОМ [3], осенью 2008 года 33% населения России в возрасте от 12 лет и старше заявили, что не намерены пользоваться Интернетом — таким образом, можно предположить, что недоступное подмножество не является пустым.) В простейших моделях распространения инноваций численность недоступного сегмента постоянна, а в более сложных (в том числе и в нашей работе) — убывает со временем Изменение численности выделенных подмножеств во времени удовлетворяет уравнениям баланса: </w:t>
      </w:r>
    </w:p>
    <w:p w:rsidR="00A96304" w:rsidRPr="00F71B3C" w:rsidRDefault="00BE3648" w:rsidP="00A96304">
      <w:pPr>
        <w:spacing w:before="120"/>
        <w:ind w:firstLine="567"/>
        <w:jc w:val="both"/>
      </w:pPr>
      <w:r>
        <w:pict>
          <v:shape id="_x0000_i1026" type="#_x0000_t75" style="width:218.25pt;height:118.5pt">
            <v:imagedata r:id="rId5" o:title=""/>
          </v:shape>
        </w:pic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с так называемыми нелокальными граничными условиями </w:t>
      </w:r>
    </w:p>
    <w:p w:rsidR="00A96304" w:rsidRPr="00F71B3C" w:rsidRDefault="00BE3648" w:rsidP="00A96304">
      <w:pPr>
        <w:spacing w:before="120"/>
        <w:ind w:firstLine="567"/>
        <w:jc w:val="both"/>
      </w:pPr>
      <w:r>
        <w:pict>
          <v:shape id="_x0000_i1027" type="#_x0000_t75" style="width:186pt;height:81.75pt">
            <v:imagedata r:id="rId6" o:title=""/>
          </v:shape>
        </w:pic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где Bi(t, π) — рождаемость в поколении π сегмента j в момент времени t, μi(t, π) — интенсивность смертности, hi(t, π) — функция риска, т.е. вероятность того, что потенциальный пользователь станет пользователем, fi(t, π, u(t)) — число переходов из «недоступного» подмножества в подмножество потенциальных пользователей в единицу времени, u(t) — «траектория» управляющих параметров (например, цен) во времени, коэффициенты ci(i, j) определяют доли сегментов (в частности, мальчиков и девочек) среди новорожденных.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Наша модель является одностадийной, поэтому слагаемое, описывающее численность перешедших из сегмента потенциальных пользователей в сегмент реальных пользователей, имеет вид произведения: hi(t, π)Yi(t, π) и не включает каких-либо лагов. Таким образом, за малый промежуток времени Δt некоторое число потенциальных пользователей, доля которых составляет h, (t, π)Δt, начинают использовать нововведение. При этом игнорируется история ознакомления индивидуумов с инновацией, возникновения интереса к ней, желания ее приобрести, а также задержка, необходимая для накопления средств на покупку товара или оплату услуги. Рождаемость и интенсивность смертности одинаковы для пользователей, потенциальных пользователей и недоступного сегмента. Все новорожденные считаются потенциальными пользователями.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Для каждого нововведения следует определить конкретный вид функции риска hi(t, π), характеризующей условную вероятность начала использования нововведения потенциальным пользователем. В этой работе мы предполагаем, что влияние различных групп при межличностном общении аддитивно, поэтому используемая нами функция риска суммирует не доли пользователей инновации, а их абсолютные величины: </w:t>
      </w:r>
    </w:p>
    <w:p w:rsidR="00A96304" w:rsidRPr="00F71B3C" w:rsidRDefault="00BE3648" w:rsidP="00A96304">
      <w:pPr>
        <w:spacing w:before="120"/>
        <w:ind w:firstLine="567"/>
        <w:jc w:val="both"/>
      </w:pPr>
      <w:r>
        <w:pict>
          <v:shape id="_x0000_i1028" type="#_x0000_t75" style="width:231pt;height:39pt">
            <v:imagedata r:id="rId7" o:title=""/>
          </v:shape>
        </w:pic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Такая форма функции риска распространяет наиболее популярную в литературе, посвященной диффузии нововведений, модель Ф. Басса [5] на случай зависимости влияния пользователей на потенциальных пользователей от возраста участников коммуникации. Полученные уравнения (в дискретной форме) были применены нами для моделирования данных ФОМ И ВЦИОМ о распространении Интернета в различных возрастных группах, отдельно для мужчин и женщин. Отметим, что в работе [6] к данным ФОМ о распространении Интернета в возрастных группах была применена логистическая модель Ферхюльста — Перла.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При решении задачи мы предположили, что структура общения однородна и отличаются только потенциалы распространения Интернета в различных возрастных когортах. Эти потенциалы, а также начальный уровень распространения хi(0) и параметры qij, характеризующие влияние межличностных коммуникаций, были определены в ходе решения обратной задачи.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После идентификации параметров модели у нас появляется возможность построения прогнозов показателей распространения Интернета в России.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>Cценарий 1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Первый из опубликованных нами прогнозов (см. рисунок 1) учитывал интернетизацию школ, но предполагал сохранение текущей стоимости доступа к Интернету для частных лиц. Для упрощения расчетов предполагалось, что с осени </w:t>
      </w:r>
      <w:smartTag w:uri="urn:schemas-microsoft-com:office:smarttags" w:element="metricconverter">
        <w:smartTagPr>
          <w:attr w:name="ProductID" w:val="2007 г"/>
        </w:smartTagPr>
        <w:r w:rsidRPr="00F71B3C">
          <w:t>2007 г</w:t>
        </w:r>
      </w:smartTag>
      <w:r w:rsidRPr="00F71B3C">
        <w:t xml:space="preserve">. все подростки в возрасте от 12 до 18 лет начали использовать Интернет и более того — позитивно влиять на взрослых, побуждая их подключиться к Сети. Это предположение оказалось слишком смелым. По данным опросов, проведенных ФОМ летом 2008 года, лишь 75, 5% подростков в возрасте от 14 до 17 лет используют Интернет хотя бы раз в полгода — дома или в школе. В Москве этот показатель возрастает до 97, 4% и убывает с размерами населенного пункта, снижаясь до 59, 9% в селах. Около трети (32%) учащихся старше 12 лет заявили, что не имеют возможности пользоваться Интернетом в учебном заведении, и лишь 30% сообщили, что могут выйти в Интернет не только на специальных занятиях, но и по необходимости [3].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Тем не менее проникновение Интернета среди подростков уже существенно превосходит уровень 30%, характеризующий проникновение Сети среди взрослых, поэтому сказанное не отразилось существенно на наших расчетах, тем более что, к сожалению, сами подростки сравнительно малочисленны (так что рост их числа является предметом другой национальной программы). </w:t>
      </w:r>
    </w:p>
    <w:p w:rsidR="00A96304" w:rsidRPr="00F71B3C" w:rsidRDefault="00BE3648" w:rsidP="00A96304">
      <w:pPr>
        <w:spacing w:before="120"/>
        <w:ind w:firstLine="567"/>
        <w:jc w:val="both"/>
      </w:pPr>
      <w:r>
        <w:pict>
          <v:shape id="_x0000_i1029" type="#_x0000_t75" style="width:436.5pt;height:225pt">
            <v:imagedata r:id="rId8" o:title=""/>
          </v:shape>
        </w:pic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Рисунок 1. Модели распространения Интернета в различных возрастных группах с учетом интернетизации школ. Данные опросов ФОМ и ВЦИОМ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При таком сценарии уровень распространения Интернета в возрастной категории 18–24 года достигнет 100% уже в </w:t>
      </w:r>
      <w:smartTag w:uri="urn:schemas-microsoft-com:office:smarttags" w:element="metricconverter">
        <w:smartTagPr>
          <w:attr w:name="ProductID" w:val="2014 г"/>
        </w:smartTagPr>
        <w:r w:rsidRPr="00F71B3C">
          <w:t>2014 г</w:t>
        </w:r>
      </w:smartTag>
      <w:r w:rsidRPr="00F71B3C">
        <w:t xml:space="preserve">. Однако на средний уровень распространения Интернета среди взрослой части населения это почти не влияет. Таким образом, школьный Интернет — необходимое, но не достаточное условие движения страны к информационному обществу.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>Cценарий 2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Несомненно, рост благосостояния в последнее десятилетие сделал Интернет доступнее для россиян. Однако уповать на то, что в ближайшие годы темпы этого роста сохранятся, более не приходится. При постоянном или снижающемся уровне благосостояния существенно повысить уровень проникновения Интернета в России могли бы относительное снижение цен на доступ в Интернет либо существенный рост полезности Интернета для жителей российских регионов.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Как показывает история развития технологий, в некоторых случаях при снижении скорости распространения услуг операторы ищут пути их удешевления для конечных потребителей, чтобы увеличить потенциал рынка и сохранить темп прироста числа пользователей. Например, в </w:t>
      </w:r>
      <w:smartTag w:uri="urn:schemas-microsoft-com:office:smarttags" w:element="metricconverter">
        <w:smartTagPr>
          <w:attr w:name="ProductID" w:val="1999 г"/>
        </w:smartTagPr>
        <w:r w:rsidRPr="00F71B3C">
          <w:t>1999 г</w:t>
        </w:r>
      </w:smartTag>
      <w:r w:rsidRPr="00F71B3C">
        <w:t xml:space="preserve">, когда мобильной связью в России пользовались в основном обеспеченные слои населения, крупные операторы сотовой связи, ощутив замедление роста своих абонентских баз, приняли решение о выводе услуги мобильной связи на массовый рынок и радикально снизили стоимость минуты разговора. В результате рост числа пользователей возобновился, их доля в </w:t>
      </w:r>
      <w:smartTag w:uri="urn:schemas-microsoft-com:office:smarttags" w:element="metricconverter">
        <w:smartTagPr>
          <w:attr w:name="ProductID" w:val="2000 г"/>
        </w:smartTagPr>
        <w:r w:rsidRPr="00F71B3C">
          <w:t>2000 г</w:t>
        </w:r>
      </w:smartTag>
      <w:r w:rsidRPr="00F71B3C">
        <w:t xml:space="preserve">. достигла 2%, а сейчас личными сотовыми телефонами владеют более 70% взрослых россиян. То же произошло с широкополосным доступом (ШПД) к Интернету в мегаполисах в 2005–2006 гг.: волна снижения цен на ШПД прошла в Москве, а начиная с </w:t>
      </w:r>
      <w:smartTag w:uri="urn:schemas-microsoft-com:office:smarttags" w:element="metricconverter">
        <w:smartTagPr>
          <w:attr w:name="ProductID" w:val="2007 г"/>
        </w:smartTagPr>
        <w:r w:rsidRPr="00F71B3C">
          <w:t>2007 г</w:t>
        </w:r>
      </w:smartTag>
      <w:r w:rsidRPr="00F71B3C">
        <w:t xml:space="preserve">. распространилась и на другие города-миллионники. </w:t>
      </w:r>
    </w:p>
    <w:p w:rsidR="00A96304" w:rsidRPr="00F71B3C" w:rsidRDefault="00BE3648" w:rsidP="00A96304">
      <w:pPr>
        <w:spacing w:before="120"/>
        <w:ind w:firstLine="567"/>
        <w:jc w:val="both"/>
      </w:pPr>
      <w:r>
        <w:pict>
          <v:shape id="_x0000_i1030" type="#_x0000_t75" style="width:434.25pt;height:222.75pt">
            <v:imagedata r:id="rId9" o:title=""/>
          </v:shape>
        </w:pic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Рисунок 2. Модели распространения Интернета в различных возрастных группах с учетом интернетизации школ и снижения стоимости доступа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При снижении стоимости доступа в Интернет рост численности его пользователей мог бы заметно ускориться (рисунок 2). По нашим расчетам, если бы начиная с весны </w:t>
      </w:r>
      <w:smartTag w:uri="urn:schemas-microsoft-com:office:smarttags" w:element="metricconverter">
        <w:smartTagPr>
          <w:attr w:name="ProductID" w:val="2008 г"/>
        </w:smartTagPr>
        <w:r w:rsidRPr="00F71B3C">
          <w:t>2008 г</w:t>
        </w:r>
      </w:smartTag>
      <w:r w:rsidRPr="00F71B3C">
        <w:t xml:space="preserve">. доступ дешевел на 5% в квартал, то половина взрослых россиян начали бы пользоваться Интернетом уже к концу </w:t>
      </w:r>
      <w:smartTag w:uri="urn:schemas-microsoft-com:office:smarttags" w:element="metricconverter">
        <w:smartTagPr>
          <w:attr w:name="ProductID" w:val="2011 г"/>
        </w:smartTagPr>
        <w:r w:rsidRPr="00F71B3C">
          <w:t>2011 г</w:t>
        </w:r>
      </w:smartTag>
      <w:r w:rsidRPr="00F71B3C">
        <w:t xml:space="preserve">. При этом требуется снижение стоимости доступа не только в городах-миллионниках (где проживают только 27, но не все 142 миллиона россиян), а повсеместно. Отметим, однако, что апробированных моделей ценовой эластичности потенциала рынка для интернет-индустрии нет, поэтому полученную оценку нельзя считать вполне надежной.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>Cценарий 3</w:t>
      </w:r>
    </w:p>
    <w:p w:rsidR="00A96304" w:rsidRPr="00F71B3C" w:rsidRDefault="00BE3648" w:rsidP="00A96304">
      <w:pPr>
        <w:spacing w:before="120"/>
        <w:ind w:firstLine="567"/>
        <w:jc w:val="both"/>
      </w:pPr>
      <w:r>
        <w:pict>
          <v:shape id="_x0000_i1031" type="#_x0000_t75" style="width:6in;height:267.75pt">
            <v:imagedata r:id="rId10" o:title=""/>
          </v:shape>
        </w:pic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Рисунок 3. Модели распространения Интернета в различных возрастных группах в условиях замораживания регионального развития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Как свидетельствуют публикуемые деловой прессой заявления компаний, в 2009 году повсеместное снижение цен не планируется [7]. Кроме того, в настоящее время некоторые крупные российские провайдеры уже объявили о замораживании инвестиций в строительство широкополосного доступа к Интернету в регионах, в том числе и в крупнейших городах-миллионниках. Те компании, которые не объявили об этом прямо, сообщают о «пересмотре временных рамок». В то время как московские провайдеры выражают осторожную надежду, что жители столицы не откажутся от Интернета, многие аналитики обосновывают сворачивание строительство ШПД в регионах неизбежным падением спроса. В таких условиях вероятнее сценарий развития Интернета, изображенный на рисунке 3.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Более того, в условиях рецессии растет вероятность возвращения к старому сценарию стагнации российского Интернета [4], которая неизбежна без интернетизации школ. Такой сценарий еще год назад казался невозможным, однако сейчас представляется вполне вероятным, поскольку региональные власти могут и не найти миллиард рублей для инвестиций в отдаленное будущее.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Как свидетельствует опыт латиноамериканских стран, близких к РФ по среднедушевому ВВП, сворачивание инвестиций и отсутствие крупных конкурентов ведет к замораживанию стоимости доступа. По окончании рецессии по мере роста доступности кредитов и смягчения инвестиционного климата транснациональные телекоммуникационные компании (Telefonica, TelMex) отваживаются инвестировать в развитие региональных рынков. Обострение конкуренции в латиноамериканских странах (как правило, в форме дуополии) в 2003–2004 гг. привело к существенному снижению стоимости доступа, достаточному, чтобы привлечь на рынок массового потребителя. </w:t>
      </w:r>
    </w:p>
    <w:p w:rsidR="00A96304" w:rsidRPr="00F71B3C" w:rsidRDefault="00BE3648" w:rsidP="00A96304">
      <w:pPr>
        <w:spacing w:before="120"/>
        <w:ind w:firstLine="567"/>
        <w:jc w:val="both"/>
      </w:pPr>
      <w:r>
        <w:pict>
          <v:shape id="_x0000_i1032" type="#_x0000_t75" style="width:378pt;height:425.25pt">
            <v:imagedata r:id="rId11" o:title=""/>
          </v:shape>
        </w:pic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Рисунок 4. Динамика распространения мобильной связи и Интернета в четырех странах Латинской Америки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На рисунке 4 можно наблюдать, как после окончания рецессии в 2003–2004 гг. приток инвестиций и обострение конкуренции привели не только к быстрому росту количества абонентов мобильной связи, но и заметному оживлению распространения Интернета в трех наиболее благополучных латиноамериканских странах (Чили, Аргентина, Уругвай), хотя снижение цен могло быть недостаточным для жителей наиболее бедных стран (Сальвадор).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Мы заключаем, что, для того чтобы не допустить продолжительной стагнации в использовании Интернета в России, необходимо обеспечить бесперебойное финансирование доступа российских школ к Интернету. Только при обеспечении обучения школьников использованию Интернета (и предполагаемом возобновлении инвестиций в региональный Интернет к 2011 году) можно надеяться на преодоление 50%-ной планки проникновения Интернета в России к 2014 году, ко времени встречи гостей зимней Олимпиады. В противном случае достижение этого уровня будет отложено до 2023 года. </w:t>
      </w:r>
    </w:p>
    <w:p w:rsidR="00A96304" w:rsidRPr="005B69A0" w:rsidRDefault="00A96304" w:rsidP="00A96304">
      <w:pPr>
        <w:spacing w:before="120"/>
        <w:jc w:val="center"/>
        <w:rPr>
          <w:b/>
          <w:sz w:val="28"/>
        </w:rPr>
      </w:pPr>
      <w:r w:rsidRPr="005B69A0">
        <w:rPr>
          <w:b/>
          <w:sz w:val="28"/>
        </w:rPr>
        <w:t>Список литературы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1. Делицын А.А, Засурский И.И. Состояние российского Интернета на сегодняшний день // Маркетинг в России и за рубежом. — 2003. — №2. — С. 80–86.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2. Галицкий Е.Б. Не исключено, что нас ждет пессимистический сценарий развития Интернета // Интернет-маркетинг. — 2007. — №1(37). — C. 10–25.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3. Ослон А.А. Российский Интернет: реалии и возможности// Доклад на круглом столе Института современного развития. — 18.02.2009. — Электронный ресурс. Режим доступа: http://bd.fbm.ru/pdf/int0209.pdf </w:t>
      </w:r>
    </w:p>
    <w:p w:rsidR="00A96304" w:rsidRPr="00A96304" w:rsidRDefault="00A96304" w:rsidP="00A96304">
      <w:pPr>
        <w:spacing w:before="120"/>
        <w:ind w:firstLine="567"/>
        <w:jc w:val="both"/>
        <w:rPr>
          <w:lang w:val="en-US"/>
        </w:rPr>
      </w:pPr>
      <w:r w:rsidRPr="00F71B3C">
        <w:t>4. Юрина Э.А., Делицын Л.Л. «Эпидемиологические» модели распространения мобильной связи и Интернета в России/Интернет-маркетинг. — 2008. — №1 (43). — С.2–15. В</w:t>
      </w:r>
      <w:r w:rsidRPr="00A96304">
        <w:rPr>
          <w:lang w:val="en-US"/>
        </w:rPr>
        <w:t xml:space="preserve"> </w:t>
      </w:r>
      <w:r w:rsidRPr="00F71B3C">
        <w:t>соавт</w:t>
      </w:r>
      <w:r w:rsidRPr="00A96304">
        <w:rPr>
          <w:lang w:val="en-US"/>
        </w:rPr>
        <w:t xml:space="preserve">. </w:t>
      </w:r>
      <w:r w:rsidRPr="00F71B3C">
        <w:t>с</w:t>
      </w:r>
      <w:r w:rsidRPr="00A96304">
        <w:rPr>
          <w:lang w:val="en-US"/>
        </w:rPr>
        <w:t xml:space="preserve"> </w:t>
      </w:r>
      <w:r w:rsidRPr="00F71B3C">
        <w:t>Э</w:t>
      </w:r>
      <w:r w:rsidRPr="00A96304">
        <w:rPr>
          <w:lang w:val="en-US"/>
        </w:rPr>
        <w:t>.</w:t>
      </w:r>
      <w:r w:rsidRPr="00F71B3C">
        <w:t>А</w:t>
      </w:r>
      <w:r w:rsidRPr="00A96304">
        <w:rPr>
          <w:lang w:val="en-US"/>
        </w:rPr>
        <w:t xml:space="preserve">. </w:t>
      </w:r>
      <w:r w:rsidRPr="00F71B3C">
        <w:t>Юриной</w:t>
      </w:r>
      <w:r w:rsidRPr="00A96304">
        <w:rPr>
          <w:lang w:val="en-US"/>
        </w:rPr>
        <w:t xml:space="preserve">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A96304">
        <w:rPr>
          <w:lang w:val="en-US"/>
        </w:rPr>
        <w:t xml:space="preserve">5. Bass F. M. A new product growth for model consumer durables. </w:t>
      </w:r>
      <w:r w:rsidRPr="00F71B3C">
        <w:t xml:space="preserve">Management Science. — 1969. — Vol. 15, p. 215–227.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6. Левин М.И., Галицкий И.Б., Ковалева В.Ю., Щепина И.Н. Модели развития Интернета в России// Интернет-маркетинг. — 2006. — №4. </w:t>
      </w:r>
    </w:p>
    <w:p w:rsidR="00A96304" w:rsidRPr="00F71B3C" w:rsidRDefault="00A96304" w:rsidP="00A96304">
      <w:pPr>
        <w:spacing w:before="120"/>
        <w:ind w:firstLine="567"/>
        <w:jc w:val="both"/>
      </w:pPr>
      <w:r w:rsidRPr="00F71B3C">
        <w:t xml:space="preserve">7. Операторы предполагают снижать объемы строительства сетей ШПЛ / Современные телекоммуникации России. — 2008. — 2 декабря. — Электронный ресурс. Режим доступа: http://www.telecomru.ru/article/?id=5090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304"/>
    <w:rsid w:val="001A35F6"/>
    <w:rsid w:val="002F56CF"/>
    <w:rsid w:val="005B69A0"/>
    <w:rsid w:val="005D6D10"/>
    <w:rsid w:val="00655CD9"/>
    <w:rsid w:val="00811DD4"/>
    <w:rsid w:val="00A96304"/>
    <w:rsid w:val="00BE3648"/>
    <w:rsid w:val="00F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32864A66-0369-4DBE-81B6-1C6EE8D5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6304"/>
    <w:rPr>
      <w:rFonts w:ascii="Verdana" w:hAnsi="Verdana" w:cs="Times New Roman"/>
      <w:color w:val="2F2F2F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Количественная модель распространения Интернета в России</vt:lpstr>
    </vt:vector>
  </TitlesOfParts>
  <Company>Home</Company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Количественная модель распространения Интернета в России</dc:title>
  <dc:subject/>
  <dc:creator>User</dc:creator>
  <cp:keywords/>
  <dc:description/>
  <cp:lastModifiedBy>admin</cp:lastModifiedBy>
  <cp:revision>2</cp:revision>
  <dcterms:created xsi:type="dcterms:W3CDTF">2014-03-28T13:25:00Z</dcterms:created>
  <dcterms:modified xsi:type="dcterms:W3CDTF">2014-03-28T13:25:00Z</dcterms:modified>
</cp:coreProperties>
</file>