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8E" w:rsidRPr="008769A4" w:rsidRDefault="004A3D8E" w:rsidP="004A3D8E">
      <w:pPr>
        <w:spacing w:before="120"/>
        <w:jc w:val="center"/>
        <w:rPr>
          <w:b/>
          <w:sz w:val="32"/>
        </w:rPr>
      </w:pPr>
      <w:r w:rsidRPr="008769A4">
        <w:rPr>
          <w:b/>
          <w:sz w:val="32"/>
        </w:rPr>
        <w:t xml:space="preserve">Концепция и моделирование экономико - технологической реальности региона </w:t>
      </w:r>
    </w:p>
    <w:p w:rsidR="004A3D8E" w:rsidRPr="008769A4" w:rsidRDefault="004A3D8E" w:rsidP="004A3D8E">
      <w:pPr>
        <w:spacing w:before="120"/>
        <w:jc w:val="center"/>
        <w:rPr>
          <w:sz w:val="28"/>
        </w:rPr>
      </w:pPr>
      <w:r w:rsidRPr="008769A4">
        <w:rPr>
          <w:sz w:val="28"/>
        </w:rPr>
        <w:t>О.А. Романова</w:t>
      </w:r>
    </w:p>
    <w:p w:rsidR="004A3D8E" w:rsidRPr="008769A4" w:rsidRDefault="004A3D8E" w:rsidP="004A3D8E">
      <w:pPr>
        <w:spacing w:before="120"/>
        <w:jc w:val="center"/>
        <w:rPr>
          <w:sz w:val="28"/>
        </w:rPr>
      </w:pPr>
      <w:r w:rsidRPr="008769A4">
        <w:rPr>
          <w:sz w:val="28"/>
        </w:rPr>
        <w:t>А.В. Гребенкин</w:t>
      </w:r>
    </w:p>
    <w:p w:rsidR="004A3D8E" w:rsidRPr="008769A4" w:rsidRDefault="004A3D8E" w:rsidP="004A3D8E">
      <w:pPr>
        <w:spacing w:before="120"/>
        <w:jc w:val="center"/>
        <w:rPr>
          <w:sz w:val="28"/>
        </w:rPr>
      </w:pPr>
      <w:r w:rsidRPr="008769A4">
        <w:rPr>
          <w:sz w:val="28"/>
        </w:rPr>
        <w:t xml:space="preserve">В.В. Акбердина 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Статья подготовлена при финансовой поддержке проекта «Экономика знания: институты регионального развития»программы фундаментальных исследований Президиума РАН№28 «Экономика и социология знания»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В широком проблемном поле экономики знаний ведется активный поиск реальных особенностей проявления порожденных знанием инноваций на всех уровнях. При этом справедливо отмечается</w:t>
      </w:r>
      <w:r>
        <w:t xml:space="preserve">, </w:t>
      </w:r>
      <w:r w:rsidRPr="008769A4">
        <w:t>что наступила фаза непрерывных технологических революций</w:t>
      </w:r>
      <w:r>
        <w:t xml:space="preserve">, </w:t>
      </w:r>
      <w:r w:rsidRPr="008769A4">
        <w:t>изменяющих как производственную базу промышленности</w:t>
      </w:r>
      <w:r>
        <w:t xml:space="preserve">, </w:t>
      </w:r>
      <w:r w:rsidRPr="008769A4">
        <w:t>так и «структурные характеристики всего комплекса социально-экономических отношений» [1</w:t>
      </w:r>
      <w:r>
        <w:t xml:space="preserve">, </w:t>
      </w:r>
      <w:r w:rsidRPr="008769A4">
        <w:t>с. 119]. Ключевую роль в изменении производственной базы играет технология (точнее</w:t>
      </w:r>
      <w:r>
        <w:t xml:space="preserve">, </w:t>
      </w:r>
      <w:r w:rsidRPr="008769A4">
        <w:t>ряд новых технологий)</w:t>
      </w:r>
      <w:r>
        <w:t xml:space="preserve">, </w:t>
      </w:r>
      <w:r w:rsidRPr="008769A4">
        <w:t>причем институциональная теория прямо увязывает технологию и институты</w:t>
      </w:r>
      <w:r>
        <w:t xml:space="preserve">, </w:t>
      </w:r>
      <w:r w:rsidRPr="008769A4">
        <w:t>которые «рассматриваются как способ выбора между технологическими альтернативами» [2</w:t>
      </w:r>
      <w:r>
        <w:t xml:space="preserve">, </w:t>
      </w:r>
      <w:r w:rsidRPr="008769A4">
        <w:t>с. 128]. Все больше внимания уделяется конвергентным технологиям (NBIC: nano-</w:t>
      </w:r>
      <w:r>
        <w:t xml:space="preserve">, </w:t>
      </w:r>
      <w:r w:rsidRPr="008769A4">
        <w:t>bio-</w:t>
      </w:r>
      <w:r>
        <w:t xml:space="preserve">, </w:t>
      </w:r>
      <w:r w:rsidRPr="008769A4">
        <w:t>info-</w:t>
      </w:r>
      <w:r>
        <w:t xml:space="preserve">, </w:t>
      </w:r>
      <w:r w:rsidRPr="008769A4">
        <w:t>cognitive) [3</w:t>
      </w:r>
      <w:r>
        <w:t xml:space="preserve">, </w:t>
      </w:r>
      <w:r w:rsidRPr="008769A4">
        <w:t>4]</w:t>
      </w:r>
      <w:r>
        <w:t xml:space="preserve">, </w:t>
      </w:r>
      <w:r w:rsidRPr="008769A4">
        <w:t>в которых получение и реализация знаний вплетены в общий код технологического развития.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Взаимодействие новых технологий с экономикой</w:t>
      </w:r>
      <w:r>
        <w:t xml:space="preserve">, </w:t>
      </w:r>
      <w:r w:rsidRPr="008769A4">
        <w:t>выступающей в виде внешней среды</w:t>
      </w:r>
      <w:r>
        <w:t xml:space="preserve">, </w:t>
      </w:r>
      <w:r w:rsidRPr="008769A4">
        <w:t>в наложении на действующую технологическую базу создает образ экономико-технологической реальности</w:t>
      </w:r>
      <w:r>
        <w:t xml:space="preserve"> - </w:t>
      </w:r>
      <w:r w:rsidRPr="008769A4">
        <w:t>нового понятия экономики знаний. Это понятие есть развитие понятия «техническая реальность»</w:t>
      </w:r>
      <w:r>
        <w:t xml:space="preserve">, </w:t>
      </w:r>
      <w:r w:rsidRPr="008769A4">
        <w:t>причем признается</w:t>
      </w:r>
      <w:r>
        <w:t xml:space="preserve">, </w:t>
      </w:r>
      <w:r w:rsidRPr="008769A4">
        <w:t>что «технологии технической реальности специально и системно пока не исследовались» [5</w:t>
      </w:r>
      <w:r>
        <w:t xml:space="preserve">, </w:t>
      </w:r>
      <w:r w:rsidRPr="008769A4">
        <w:t>с. 53; 6]. В узком смысле технология</w:t>
      </w:r>
      <w:r>
        <w:t xml:space="preserve"> - </w:t>
      </w:r>
      <w:r w:rsidRPr="008769A4">
        <w:t>это способ преобразования вещества</w:t>
      </w:r>
      <w:r>
        <w:t xml:space="preserve">, </w:t>
      </w:r>
      <w:r w:rsidRPr="008769A4">
        <w:t>энергии</w:t>
      </w:r>
      <w:r>
        <w:t xml:space="preserve">, </w:t>
      </w:r>
      <w:r w:rsidRPr="008769A4">
        <w:t>информации в процессе изготовления продукции</w:t>
      </w:r>
      <w:r>
        <w:t xml:space="preserve">, </w:t>
      </w:r>
      <w:r w:rsidRPr="008769A4">
        <w:t>обработки и переработки материалов</w:t>
      </w:r>
      <w:r>
        <w:t xml:space="preserve">, </w:t>
      </w:r>
      <w:r w:rsidRPr="008769A4">
        <w:t>сборки гото-вьгх изделий</w:t>
      </w:r>
      <w:r>
        <w:t xml:space="preserve">, </w:t>
      </w:r>
      <w:r w:rsidRPr="008769A4">
        <w:t>контроля качества</w:t>
      </w:r>
      <w:r>
        <w:t xml:space="preserve">, </w:t>
      </w:r>
      <w:r w:rsidRPr="008769A4">
        <w:t>управления. Технология включает в себя методы</w:t>
      </w:r>
      <w:r>
        <w:t xml:space="preserve">, </w:t>
      </w:r>
      <w:r w:rsidRPr="008769A4">
        <w:t>приемы</w:t>
      </w:r>
      <w:r>
        <w:t xml:space="preserve">, </w:t>
      </w:r>
      <w:r w:rsidRPr="008769A4">
        <w:t>режим работы</w:t>
      </w:r>
      <w:r>
        <w:t xml:space="preserve">, </w:t>
      </w:r>
      <w:r w:rsidRPr="008769A4">
        <w:t>последовательность операций и процедур</w:t>
      </w:r>
      <w:r>
        <w:t xml:space="preserve">, </w:t>
      </w:r>
      <w:r w:rsidRPr="008769A4">
        <w:t>она тесно связана с применяемыми средствами</w:t>
      </w:r>
      <w:r>
        <w:t xml:space="preserve">, </w:t>
      </w:r>
      <w:r w:rsidRPr="008769A4">
        <w:t>оборудованием</w:t>
      </w:r>
      <w:r>
        <w:t xml:space="preserve">, </w:t>
      </w:r>
      <w:r w:rsidRPr="008769A4">
        <w:t>инструментами</w:t>
      </w:r>
      <w:r>
        <w:t xml:space="preserve">, </w:t>
      </w:r>
      <w:r w:rsidRPr="008769A4">
        <w:t>используемыми материалами. В процессе целенаправленной трудовой деятельности человек с помощью созданных им средств труда преобразует предмет труда в необходимый ему продукт. Таким образом</w:t>
      </w:r>
      <w:r>
        <w:t xml:space="preserve">, </w:t>
      </w:r>
      <w:r w:rsidRPr="008769A4">
        <w:t>вычленяя из технической реальности технологию и продукт</w:t>
      </w:r>
      <w:r>
        <w:t xml:space="preserve">, </w:t>
      </w:r>
      <w:r w:rsidRPr="008769A4">
        <w:t>накладывая на них экономические отношения и определяя их взаимосвязи и взаи-мообусловность с институциональной сферой</w:t>
      </w:r>
      <w:r>
        <w:t xml:space="preserve">, </w:t>
      </w:r>
      <w:r w:rsidRPr="008769A4">
        <w:t>получаем предметное поле понятия экономико-технологической реальности.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Экономико-технологическая реальность может быть рассмотрена в контексте как экономики знаний</w:t>
      </w:r>
      <w:r>
        <w:t xml:space="preserve">, </w:t>
      </w:r>
      <w:r w:rsidRPr="008769A4">
        <w:t>так и синергетики и созданной на ее основе концепции эволюционной экономики.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Экономико-технологическая реальность в фокусе экономики знаний</w:t>
      </w:r>
      <w:r>
        <w:t xml:space="preserve"> - </w:t>
      </w:r>
      <w:r w:rsidRPr="008769A4">
        <w:t>это множество технологических решений и продуктов</w:t>
      </w:r>
      <w:r>
        <w:t xml:space="preserve">, </w:t>
      </w:r>
      <w:r w:rsidRPr="008769A4">
        <w:t>созданных посредством накопления человеческих знаний и существующих в одном информационном поле</w:t>
      </w:r>
      <w:r>
        <w:t xml:space="preserve">, </w:t>
      </w:r>
      <w:r w:rsidRPr="008769A4">
        <w:t>включающем в себя экономические отношения и институциональную среду.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Вместе с тем экономико-технологическая реальность имеет тесную предметную связь с синергетикой</w:t>
      </w:r>
      <w:r>
        <w:t xml:space="preserve"> - </w:t>
      </w:r>
      <w:r w:rsidRPr="008769A4">
        <w:t>междисциплинарным направлением научных исследований</w:t>
      </w:r>
      <w:r>
        <w:t xml:space="preserve">, </w:t>
      </w:r>
      <w:r w:rsidRPr="008769A4">
        <w:t>изучающих процессы самоорганизации и возникновения</w:t>
      </w:r>
      <w:r>
        <w:t xml:space="preserve">, </w:t>
      </w:r>
      <w:r w:rsidRPr="008769A4">
        <w:t>поддержания устойчивости и распада структур самой различной природы [7]. В контексте синергетическо-го подхода экономико-технологическая реальность</w:t>
      </w:r>
      <w:r>
        <w:t xml:space="preserve"> - </w:t>
      </w:r>
      <w:r w:rsidRPr="008769A4">
        <w:t>это неравновесная</w:t>
      </w:r>
      <w:r>
        <w:t xml:space="preserve">, </w:t>
      </w:r>
      <w:r w:rsidRPr="008769A4">
        <w:t>саморазвивающаяся</w:t>
      </w:r>
      <w:r>
        <w:t xml:space="preserve">, </w:t>
      </w:r>
      <w:r w:rsidRPr="008769A4">
        <w:t>воспроизводящаяся целостность иерархически структурированных элементов</w:t>
      </w:r>
      <w:r>
        <w:t xml:space="preserve">, </w:t>
      </w:r>
      <w:r w:rsidRPr="008769A4">
        <w:t>способных самостоятельно эволюционировать на основе технологического отбора и по экономическим законам. Именно в контексте синергетического подхода в дальнейшем будет рассматриваться и моделироваться экономико-технологическая реальность региона.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Неравновесность экономико-технологической реальности является необходимым условием появления новой организации</w:t>
      </w:r>
      <w:r>
        <w:t xml:space="preserve">, </w:t>
      </w:r>
      <w:r w:rsidRPr="008769A4">
        <w:t>нового порядка</w:t>
      </w:r>
      <w:r>
        <w:t xml:space="preserve">, </w:t>
      </w:r>
      <w:r w:rsidRPr="008769A4">
        <w:t>новых форм проявления</w:t>
      </w:r>
      <w:r>
        <w:t xml:space="preserve">, </w:t>
      </w:r>
      <w:r w:rsidRPr="008769A4">
        <w:t>т.е. развития. Самым важным представляется то</w:t>
      </w:r>
      <w:r>
        <w:t xml:space="preserve">, </w:t>
      </w:r>
      <w:r w:rsidRPr="008769A4">
        <w:t>что экономико-технологическая реальность наделяется принципиальной самостоятельностью</w:t>
      </w:r>
      <w:r>
        <w:t xml:space="preserve">, </w:t>
      </w:r>
      <w:r w:rsidRPr="008769A4">
        <w:t>самоцелью развития. Именно здесь закладываются основы понимания техноэволюции</w:t>
      </w:r>
      <w:r>
        <w:t xml:space="preserve">, </w:t>
      </w:r>
      <w:r w:rsidRPr="008769A4">
        <w:t>движущей силой которой выступает информационный отбор.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В научно-техническом прогрессе единицей отбора служит технология. Технология</w:t>
      </w:r>
      <w:r>
        <w:t xml:space="preserve"> - </w:t>
      </w:r>
      <w:r w:rsidRPr="008769A4">
        <w:t>это</w:t>
      </w:r>
      <w:r>
        <w:t xml:space="preserve">, </w:t>
      </w:r>
      <w:r w:rsidRPr="008769A4">
        <w:t>в сущности</w:t>
      </w:r>
      <w:r>
        <w:t xml:space="preserve">, </w:t>
      </w:r>
      <w:r w:rsidRPr="008769A4">
        <w:t>человеческое представление о способе использования ресурса. К ресурсу в обобщенном понимании можно относить сырье</w:t>
      </w:r>
      <w:r>
        <w:t xml:space="preserve">, </w:t>
      </w:r>
      <w:r w:rsidRPr="008769A4">
        <w:t>труд</w:t>
      </w:r>
      <w:r>
        <w:t xml:space="preserve">, </w:t>
      </w:r>
      <w:r w:rsidRPr="008769A4">
        <w:t>капитал и другие факторы производства</w:t>
      </w:r>
      <w:r>
        <w:t xml:space="preserve">, </w:t>
      </w:r>
      <w:r w:rsidRPr="008769A4">
        <w:t>а также соответствующий потребительский рынок</w:t>
      </w:r>
      <w:r>
        <w:t xml:space="preserve"> - </w:t>
      </w:r>
      <w:r w:rsidRPr="008769A4">
        <w:t>словом</w:t>
      </w:r>
      <w:r>
        <w:t xml:space="preserve">, </w:t>
      </w:r>
      <w:r w:rsidRPr="008769A4">
        <w:t>все</w:t>
      </w:r>
      <w:r>
        <w:t xml:space="preserve">, </w:t>
      </w:r>
      <w:r w:rsidRPr="008769A4">
        <w:t>за что в принципе могут конкурировать альтернативные инновационные типы производства. Вокруг каждой из технологий формируется специфическая институциональная инфраструктура. Группа экономических агентов</w:t>
      </w:r>
      <w:r>
        <w:t xml:space="preserve">, </w:t>
      </w:r>
      <w:r w:rsidRPr="008769A4">
        <w:t>объединенная конкретной технологией</w:t>
      </w:r>
      <w:r>
        <w:t xml:space="preserve">, </w:t>
      </w:r>
      <w:r w:rsidRPr="008769A4">
        <w:t>обладает единым генотипом. Установившаяся в результате окончательного отбора доминирующая технология становится новой технико-экономической парадигмой.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Чтобы получить концептуальную картину эволюции экономико-технологической реальности</w:t>
      </w:r>
      <w:r>
        <w:t xml:space="preserve">, </w:t>
      </w:r>
      <w:r w:rsidRPr="008769A4">
        <w:t>необходимо</w:t>
      </w:r>
      <w:r>
        <w:t xml:space="preserve">, </w:t>
      </w:r>
      <w:r w:rsidRPr="008769A4">
        <w:t>как и в биологии</w:t>
      </w:r>
      <w:r>
        <w:t xml:space="preserve">, </w:t>
      </w:r>
      <w:r w:rsidRPr="008769A4">
        <w:t>выделить две основные эволюционные стадии развития: дивергентную и конвергентную. Каждая из стадий самоорганизации подготавливает условия для другой. И на той</w:t>
      </w:r>
      <w:r>
        <w:t xml:space="preserve">, </w:t>
      </w:r>
      <w:r w:rsidRPr="008769A4">
        <w:t>и на другой стадии вследствие эвристической природы инновационной деятельности постоянно возникают различные вариации доминирующей технико-экономической парадигмы и происходит последующий конкурентный отбор одной технологии из нескольких альтернативных.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Главное отличие эволюционных стадий друг от друга состоит в следующем. На дивергентной стадии появляется технология</w:t>
      </w:r>
      <w:r>
        <w:t xml:space="preserve">, </w:t>
      </w:r>
      <w:r w:rsidRPr="008769A4">
        <w:t>способная к освоению качественно иного ресурса. Обычно такие технологические вариации не дают селективных преимуществ в контексте сложившихся условий существования экономической системы. Они могут успешно участвовать в отборе именно тогда</w:t>
      </w:r>
      <w:r>
        <w:t xml:space="preserve">, </w:t>
      </w:r>
      <w:r w:rsidRPr="008769A4">
        <w:t>когда вследствие изменения условий существования прежний тип технологии становится функционально неадекватным. Причиной</w:t>
      </w:r>
      <w:r>
        <w:t xml:space="preserve">, </w:t>
      </w:r>
      <w:r w:rsidRPr="008769A4">
        <w:t>как правило</w:t>
      </w:r>
      <w:r>
        <w:t xml:space="preserve">, </w:t>
      </w:r>
      <w:r w:rsidRPr="008769A4">
        <w:t>служит истощение привычных источников используемого ресурса. При этом результатом отбора является утверждение новой технико-экономической парадигмы</w:t>
      </w:r>
      <w:r>
        <w:t xml:space="preserve">, </w:t>
      </w:r>
      <w:r w:rsidRPr="008769A4">
        <w:t>что и составляет сущность дивергентной стадии экономического развития на любом уровне</w:t>
      </w:r>
      <w:r>
        <w:t xml:space="preserve"> - </w:t>
      </w:r>
      <w:r w:rsidRPr="008769A4">
        <w:t>начиная от подотрасли и кончая мировым хозяйством в целом.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На конвергентной стадии существующие и возникающие вновь технологии используют один и тот же ресурс. Отбор приводит к увеличению эффективности уже утвердившихся типов технологий или форм хозяйствования в рамках господствующей парадигмы. Происходит совершенствование</w:t>
      </w:r>
      <w:r>
        <w:t xml:space="preserve"> - </w:t>
      </w:r>
      <w:r w:rsidRPr="008769A4">
        <w:t>адаптация парадигмы к данным экономическим условиям существования.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Конвергентные стадии сменяются дивергентными через промежуточные стационарные стадии. Последние соответствуют полностью оформившимся технико-экономическим парадигмам</w:t>
      </w:r>
      <w:r>
        <w:t xml:space="preserve">, </w:t>
      </w:r>
      <w:r w:rsidRPr="008769A4">
        <w:t>потенциал которых находится в определенном балансе с потреблением ресурса. В идеализированной ситуации</w:t>
      </w:r>
      <w:r>
        <w:t xml:space="preserve">, </w:t>
      </w:r>
      <w:r w:rsidRPr="008769A4">
        <w:t>когда ресурс практически неограничен</w:t>
      </w:r>
      <w:r>
        <w:t xml:space="preserve">, </w:t>
      </w:r>
      <w:r w:rsidRPr="008769A4">
        <w:t>а прочие окружающие условия постоянны</w:t>
      </w:r>
      <w:r>
        <w:t xml:space="preserve">, </w:t>
      </w:r>
      <w:r w:rsidRPr="008769A4">
        <w:t>стационарная стадия может продолжаться сколь угодно долго. Реально она сменяется дивергентной стадией после того</w:t>
      </w:r>
      <w:r>
        <w:t xml:space="preserve">, </w:t>
      </w:r>
      <w:r w:rsidRPr="008769A4">
        <w:t>как ресурс</w:t>
      </w:r>
      <w:r>
        <w:t xml:space="preserve">, </w:t>
      </w:r>
      <w:r w:rsidRPr="008769A4">
        <w:t>используемый господствующим типом технологии</w:t>
      </w:r>
      <w:r>
        <w:t xml:space="preserve">, </w:t>
      </w:r>
      <w:r w:rsidRPr="008769A4">
        <w:t>по тем или иным причинам истощается. Таким образом</w:t>
      </w:r>
      <w:r>
        <w:t xml:space="preserve">, </w:t>
      </w:r>
      <w:r w:rsidRPr="008769A4">
        <w:t>причиной угасания прежней парадигмы и перехода к новой служит исчерпание ресурса. Или</w:t>
      </w:r>
      <w:r>
        <w:t xml:space="preserve">, </w:t>
      </w:r>
      <w:r w:rsidRPr="008769A4">
        <w:t>говоря традиционным экономическим языком</w:t>
      </w:r>
      <w:r>
        <w:t xml:space="preserve">, </w:t>
      </w:r>
      <w:r w:rsidRPr="008769A4">
        <w:t>условия для появления новой парадигмы созревают тогда</w:t>
      </w:r>
      <w:r>
        <w:t xml:space="preserve">, </w:t>
      </w:r>
      <w:r w:rsidRPr="008769A4">
        <w:t>когда возможности дальнейшего прибыльного инвестирования в расширение производства в рамках предыдущей исчерпываются. В новых условиях прежний технологический стереотип уже не является наиболее эффективным.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Инновационно-инвестиционная динамика рассматривается нами как суть изменчивости экономико-технологической реальности.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Мировой опыт показывает</w:t>
      </w:r>
      <w:r>
        <w:t xml:space="preserve">, </w:t>
      </w:r>
      <w:r w:rsidRPr="008769A4">
        <w:t>что в современной ситуации снижается возможность управления инновационными процессами на национальном уровне. Это связано в первую очередь с тем</w:t>
      </w:r>
      <w:r>
        <w:t xml:space="preserve">, </w:t>
      </w:r>
      <w:r w:rsidRPr="008769A4">
        <w:t>что национальные границы в инновационных процессах стираются</w:t>
      </w:r>
      <w:r>
        <w:t xml:space="preserve">, </w:t>
      </w:r>
      <w:r w:rsidRPr="008769A4">
        <w:t>так как транснациональные корпорации разбивают цепочки добавленной стоимости и размещают их там</w:t>
      </w:r>
      <w:r>
        <w:t xml:space="preserve">, </w:t>
      </w:r>
      <w:r w:rsidRPr="008769A4">
        <w:t>где находят локальные преимущества. Регион становится естественной инновационной областью в условиях глобализации. Географическая локализация представляет собой большое преимущество при развитии инновационной системы</w:t>
      </w:r>
      <w:r>
        <w:t xml:space="preserve">, </w:t>
      </w:r>
      <w:r w:rsidRPr="008769A4">
        <w:t>так как это упрощает коммуникации и обмен неявными знаниями между специализированными организациями. В этой связи региональный аспект анализа экономико-технологической реальности</w:t>
      </w:r>
      <w:r>
        <w:t xml:space="preserve">, </w:t>
      </w:r>
      <w:r w:rsidRPr="008769A4">
        <w:t>изучение ее динамических характеристик может подсказать многое для формирования региональной научно-технической политики.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Изучение взаимодействия конвергентных технологий с экономическими показателями отдельного региона пока представляет значительные трудности</w:t>
      </w:r>
      <w:r>
        <w:t xml:space="preserve">, </w:t>
      </w:r>
      <w:r w:rsidRPr="008769A4">
        <w:t>поэтому дальнейший анализ проводился по доступным инновационным экономическим параметрам. Значительная часть инновационных показателей не охвачена официальной статистикой. Сами технологические изменения приобретают все более размытый и трудноуловимый характер</w:t>
      </w:r>
      <w:r>
        <w:t xml:space="preserve">, </w:t>
      </w:r>
      <w:r w:rsidRPr="008769A4">
        <w:t>не вписываясь в известные ритмы научно-производственных и технологических циклов. Если раньше обновление основных фондов занимало десятилетия</w:t>
      </w:r>
      <w:r>
        <w:t xml:space="preserve">, </w:t>
      </w:r>
      <w:r w:rsidRPr="008769A4">
        <w:t>то сегодня на передовых рубежах НТП оборудование меняется в течение нескольких лет. Многие виды интеллектуальной деятельности</w:t>
      </w:r>
      <w:r>
        <w:t xml:space="preserve">, </w:t>
      </w:r>
      <w:r w:rsidRPr="008769A4">
        <w:t>вносящие весомый вклад в прирост ВВП</w:t>
      </w:r>
      <w:r>
        <w:t xml:space="preserve">, </w:t>
      </w:r>
      <w:r w:rsidRPr="008769A4">
        <w:t>вообще не требуют оборудования. По свидетельству экспертов</w:t>
      </w:r>
      <w:r>
        <w:t xml:space="preserve">, </w:t>
      </w:r>
      <w:r w:rsidRPr="008769A4">
        <w:t>сегодня в США примерно 45 млн. чел. используют в качестве средства производства только свой интеллект</w:t>
      </w:r>
      <w:r>
        <w:t xml:space="preserve">, </w:t>
      </w:r>
      <w:r w:rsidRPr="008769A4">
        <w:t xml:space="preserve">подкрепленный персональным компьютером [8]. Происходит резкое сокращение срока реализации научных открытий: средний период освоения нововведений с 1885 по </w:t>
      </w:r>
      <w:smartTag w:uri="urn:schemas-microsoft-com:office:smarttags" w:element="metricconverter">
        <w:smartTagPr>
          <w:attr w:name="ProductID" w:val="1919 г"/>
        </w:smartTagPr>
        <w:r w:rsidRPr="008769A4">
          <w:t>1919 г</w:t>
        </w:r>
      </w:smartTag>
      <w:r w:rsidRPr="008769A4">
        <w:t>. составил 37 лет</w:t>
      </w:r>
      <w:r>
        <w:t xml:space="preserve">, </w:t>
      </w:r>
      <w:r w:rsidRPr="008769A4">
        <w:t xml:space="preserve">с 1920 по </w:t>
      </w:r>
      <w:smartTag w:uri="urn:schemas-microsoft-com:office:smarttags" w:element="metricconverter">
        <w:smartTagPr>
          <w:attr w:name="ProductID" w:val="1944 г"/>
        </w:smartTagPr>
        <w:r w:rsidRPr="008769A4">
          <w:t>1944 г</w:t>
        </w:r>
      </w:smartTag>
      <w:r w:rsidRPr="008769A4">
        <w:t>.</w:t>
      </w:r>
      <w:r>
        <w:t xml:space="preserve"> - </w:t>
      </w:r>
      <w:r w:rsidRPr="008769A4">
        <w:t>24 года</w:t>
      </w:r>
      <w:r>
        <w:t xml:space="preserve">, </w:t>
      </w:r>
      <w:r w:rsidRPr="008769A4">
        <w:t xml:space="preserve">с 1945 по </w:t>
      </w:r>
      <w:smartTag w:uri="urn:schemas-microsoft-com:office:smarttags" w:element="metricconverter">
        <w:smartTagPr>
          <w:attr w:name="ProductID" w:val="1964 г"/>
        </w:smartTagPr>
        <w:r w:rsidRPr="008769A4">
          <w:t>1964 г</w:t>
        </w:r>
      </w:smartTag>
      <w:r w:rsidRPr="008769A4">
        <w:t>.</w:t>
      </w:r>
      <w:r>
        <w:t xml:space="preserve"> - </w:t>
      </w:r>
      <w:r w:rsidRPr="008769A4">
        <w:t>14 лет</w:t>
      </w:r>
      <w:r>
        <w:t xml:space="preserve">, </w:t>
      </w:r>
      <w:r w:rsidRPr="008769A4">
        <w:t>а в 90-е годы ХХ в. для наиболее перспективных открытий (электроника</w:t>
      </w:r>
      <w:r>
        <w:t xml:space="preserve">, </w:t>
      </w:r>
      <w:r w:rsidRPr="008769A4">
        <w:t>атомная энергетика</w:t>
      </w:r>
      <w:r>
        <w:t xml:space="preserve">, </w:t>
      </w:r>
      <w:r w:rsidRPr="008769A4">
        <w:t>лазеры)</w:t>
      </w:r>
      <w:r>
        <w:t xml:space="preserve"> - </w:t>
      </w:r>
      <w:r w:rsidRPr="008769A4">
        <w:t>3-4 года [9].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При сетевой организации современного бизнеса</w:t>
      </w:r>
      <w:r>
        <w:t xml:space="preserve">, </w:t>
      </w:r>
      <w:r w:rsidRPr="008769A4">
        <w:t>перешедшего к непрерывному инновационному процессу и использующего CALS-технологии (непрерывное совершенствование и поддержка жизненного цикла продукции) в глобальных масштабах</w:t>
      </w:r>
      <w:r>
        <w:t xml:space="preserve">, </w:t>
      </w:r>
      <w:r w:rsidRPr="008769A4">
        <w:t>размывается физическая основа привычных ритмов экономического роста</w:t>
      </w:r>
      <w:r>
        <w:t xml:space="preserve">, </w:t>
      </w:r>
      <w:r w:rsidRPr="008769A4">
        <w:t>замедляется его цикличность. Вместо последовательного прохождения научно-производственного цикла по фазам НИР</w:t>
      </w:r>
      <w:r>
        <w:t xml:space="preserve">, </w:t>
      </w:r>
      <w:r w:rsidRPr="008769A4">
        <w:t>ОКР</w:t>
      </w:r>
      <w:r>
        <w:t xml:space="preserve">, </w:t>
      </w:r>
      <w:r w:rsidRPr="008769A4">
        <w:t>проектирования и освоения массового производства происходит совмещение этих стадий. Производство становится сферой реализации научных достижений [10]. В экономике знаний непрерывный поток нововведений ускоряет процесс обновления материально-технологической основы производственной деятельности</w:t>
      </w:r>
      <w:r>
        <w:t xml:space="preserve">, </w:t>
      </w:r>
      <w:r w:rsidRPr="008769A4">
        <w:t>которая становится все более разнообразной и все менее уловимой в традиционных агрегатных показателях. Все это</w:t>
      </w:r>
      <w:r>
        <w:t xml:space="preserve">, </w:t>
      </w:r>
      <w:r w:rsidRPr="008769A4">
        <w:t>разумеется</w:t>
      </w:r>
      <w:r>
        <w:t xml:space="preserve">, </w:t>
      </w:r>
      <w:r w:rsidRPr="008769A4">
        <w:t>не означает невозможности проведения корректных измерений. Требуется правильное понимание содержания измеряемых процессов.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В этой связи основой моделирования технико-экономического развития должна стать экономико-технологическая реальность</w:t>
      </w:r>
      <w:r>
        <w:t xml:space="preserve">, </w:t>
      </w:r>
      <w:r w:rsidRPr="008769A4">
        <w:t>понимаемая в категориях синергетического подхода и включающая нелинейные взаимосвязи неравновесных процессов обновления капитала</w:t>
      </w:r>
      <w:r>
        <w:t xml:space="preserve">, </w:t>
      </w:r>
      <w:r w:rsidRPr="008769A4">
        <w:t>технологических изменений и социально-экономического роста в открытых экономических системах.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Исследования синергетических моделей управления социально-экономическими системами становятся в последнее время особенно востребованными. В рамках синергетических представлений развитие экономической системы представляет собой качественное изменение ее структуры и функционирования за счет кооперативного взаимодействия ее компонентов. В известных книгах по синергетике и теории катастроф Г. Хакена [11]</w:t>
      </w:r>
      <w:r>
        <w:t xml:space="preserve">, </w:t>
      </w:r>
      <w:r w:rsidRPr="008769A4">
        <w:t>Ф. Муна [12]</w:t>
      </w:r>
      <w:r>
        <w:t xml:space="preserve">, </w:t>
      </w:r>
      <w:r w:rsidRPr="008769A4">
        <w:t>В. Арнольда [13]</w:t>
      </w:r>
      <w:r>
        <w:t xml:space="preserve">, </w:t>
      </w:r>
      <w:r w:rsidRPr="008769A4">
        <w:t>Г. Гилмора [14] можно найти достаточно много ссылок на возможность применения методов этого зарождающегося направления в теории управления</w:t>
      </w:r>
      <w:r>
        <w:t xml:space="preserve">, </w:t>
      </w:r>
      <w:r w:rsidRPr="008769A4">
        <w:t>экономике</w:t>
      </w:r>
      <w:r>
        <w:t xml:space="preserve">, </w:t>
      </w:r>
      <w:r w:rsidRPr="008769A4">
        <w:t>социологии.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В данной работе реализован метод квазистатических неравновесных потенциальных функций [15]</w:t>
      </w:r>
      <w:r>
        <w:t xml:space="preserve">, </w:t>
      </w:r>
      <w:r w:rsidRPr="008769A4">
        <w:t>в качестве которых для региона выступают максимизируемые валовая добавленная стоимость (валовой региональный продукт) и денежные доходы населения региона. Применение данного метода позволяет описать их нелинейное взаимодействие с другими показателями.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Работы зарубежных и российских авторов показали</w:t>
      </w:r>
      <w:r>
        <w:t xml:space="preserve">, </w:t>
      </w:r>
      <w:r w:rsidRPr="008769A4">
        <w:t>что исследование устойчивости стационарных состояний эффективно осуществляется методами теории катастроф [14]</w:t>
      </w:r>
      <w:r>
        <w:t xml:space="preserve">, </w:t>
      </w:r>
      <w:r w:rsidRPr="008769A4">
        <w:t>которая позволяет в результате обработки исторических (статистических) данных о социально-экономическом положении региона дать оценку текущего состояния с точки зрения локальной или глобальной устойчивости в наглядном графическом виде</w:t>
      </w:r>
      <w:r>
        <w:t xml:space="preserve">, </w:t>
      </w:r>
      <w:r w:rsidRPr="008769A4">
        <w:t>определить точки равновесия и исследовать временную деформацию потенциальных функций</w:t>
      </w:r>
      <w:r>
        <w:t xml:space="preserve">, </w:t>
      </w:r>
      <w:r w:rsidRPr="008769A4">
        <w:t>а значит и формализовать на мезоуровне задачи так называемого устойчивого развития объектов и управления ими [15].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В целях проверки моделей экономико-технологической реальности были обработаны статистические данные по Свердловской области за период 1994-2007 гг. Статистические данные</w:t>
      </w:r>
      <w:r>
        <w:t xml:space="preserve">, </w:t>
      </w:r>
      <w:r w:rsidRPr="008769A4">
        <w:t>участвовавшие в процессе анализа</w:t>
      </w:r>
      <w:r>
        <w:t xml:space="preserve">, </w:t>
      </w:r>
      <w:r w:rsidRPr="008769A4">
        <w:t>исследовались как в полном объеме</w:t>
      </w:r>
      <w:r>
        <w:t xml:space="preserve">, </w:t>
      </w:r>
      <w:r w:rsidRPr="008769A4">
        <w:t>так и по частям. Декомпозиция производилась в соответствии с принципом поиска локальных максимумов и минимумов</w:t>
      </w:r>
      <w:r>
        <w:t xml:space="preserve">, </w:t>
      </w:r>
      <w:r w:rsidRPr="008769A4">
        <w:t>суть которого заключается в изучении изменения тенденции поведения системы на небольших интервальных участках. В связи с этим фиксируется момент изменения тенденции</w:t>
      </w:r>
      <w:r>
        <w:t xml:space="preserve">, </w:t>
      </w:r>
      <w:r w:rsidRPr="008769A4">
        <w:t>который и является началом нового интервала. В результате получаются интервалы данных различной продолжительности. Таким образом</w:t>
      </w:r>
      <w:r>
        <w:t xml:space="preserve">, </w:t>
      </w:r>
      <w:r w:rsidRPr="008769A4">
        <w:t>обеспечивается более точная аппроксимация моделью экспериментальных данных на каждом из участков разбиения.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Большое внимание уделено определению устойчивости текущего социально-экономического положения Свердловской области</w:t>
      </w:r>
      <w:r>
        <w:t xml:space="preserve">, </w:t>
      </w:r>
      <w:r w:rsidRPr="008769A4">
        <w:t>описанию бистабильных и хаотических режимов в предкризисном периоде 1995-1997 гг.</w:t>
      </w:r>
      <w:r>
        <w:t xml:space="preserve">, </w:t>
      </w:r>
      <w:r w:rsidRPr="008769A4">
        <w:t xml:space="preserve">в период кризиса </w:t>
      </w:r>
      <w:smartTag w:uri="urn:schemas-microsoft-com:office:smarttags" w:element="metricconverter">
        <w:smartTagPr>
          <w:attr w:name="ProductID" w:val="1998 г"/>
        </w:smartTagPr>
        <w:r w:rsidRPr="008769A4">
          <w:t>1998 г</w:t>
        </w:r>
      </w:smartTag>
      <w:r w:rsidRPr="008769A4">
        <w:t>.</w:t>
      </w:r>
      <w:r>
        <w:t xml:space="preserve">, </w:t>
      </w:r>
      <w:r w:rsidRPr="008769A4">
        <w:t xml:space="preserve">в период последующего восстановительного роста 1999-2003 гг. и в период стабилизации развития до </w:t>
      </w:r>
      <w:smartTag w:uri="urn:schemas-microsoft-com:office:smarttags" w:element="metricconverter">
        <w:smartTagPr>
          <w:attr w:name="ProductID" w:val="2008 г"/>
        </w:smartTagPr>
        <w:r w:rsidRPr="008769A4">
          <w:t>2008 г</w:t>
        </w:r>
      </w:smartTag>
      <w:r w:rsidRPr="008769A4">
        <w:t>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В данной работе использован метод диаграммного анализа текущих состояний объекта исследования</w:t>
      </w:r>
      <w:r>
        <w:t xml:space="preserve">, </w:t>
      </w:r>
      <w:r w:rsidRPr="008769A4">
        <w:t>который позволяет по диаграммам идентифицировать текущие состояния экономики Свердловской области</w:t>
      </w:r>
      <w:r>
        <w:t xml:space="preserve">, </w:t>
      </w:r>
      <w:r w:rsidRPr="008769A4">
        <w:t>определять их устойчивость</w:t>
      </w:r>
      <w:r>
        <w:t xml:space="preserve">, </w:t>
      </w:r>
      <w:r w:rsidRPr="008769A4">
        <w:t>локальную или глобальную</w:t>
      </w:r>
      <w:r>
        <w:t xml:space="preserve">, </w:t>
      </w:r>
      <w:r w:rsidRPr="008769A4">
        <w:t>области метастабильных состояний и особых (критических) точек</w:t>
      </w:r>
      <w:r>
        <w:t xml:space="preserve">, </w:t>
      </w:r>
      <w:r w:rsidRPr="008769A4">
        <w:t>а также отслеживать их изменение.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Число анализируемых показателей является ограниченным: V</w:t>
      </w:r>
      <w:r>
        <w:t xml:space="preserve"> - </w:t>
      </w:r>
      <w:r w:rsidRPr="008769A4">
        <w:t>валовой региональный продукт</w:t>
      </w:r>
      <w:r>
        <w:t xml:space="preserve">, </w:t>
      </w:r>
      <w:r w:rsidRPr="008769A4">
        <w:t>M</w:t>
      </w:r>
      <w:r>
        <w:t xml:space="preserve"> - </w:t>
      </w:r>
      <w:r w:rsidRPr="008769A4">
        <w:t>денежные доходы населения</w:t>
      </w:r>
      <w:r>
        <w:t xml:space="preserve">, </w:t>
      </w:r>
      <w:r w:rsidRPr="008769A4">
        <w:t>I</w:t>
      </w:r>
      <w:r>
        <w:t xml:space="preserve"> - </w:t>
      </w:r>
      <w:r w:rsidRPr="008769A4">
        <w:t>инвестиции в основной капитал</w:t>
      </w:r>
      <w:r>
        <w:t xml:space="preserve">, </w:t>
      </w:r>
      <w:r w:rsidRPr="008769A4">
        <w:t>R</w:t>
      </w:r>
      <w:r>
        <w:t xml:space="preserve"> - </w:t>
      </w:r>
      <w:r w:rsidRPr="008769A4">
        <w:t>внутренние затраты на исследования и разработки</w:t>
      </w:r>
      <w:r>
        <w:t xml:space="preserve">, </w:t>
      </w:r>
      <w:r w:rsidRPr="008769A4">
        <w:t>P</w:t>
      </w:r>
      <w:r>
        <w:t xml:space="preserve"> - </w:t>
      </w:r>
      <w:r w:rsidRPr="008769A4">
        <w:t>численность постоянного населения.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В математических моделях использовались относительные величины</w:t>
      </w:r>
      <w:r>
        <w:t xml:space="preserve">, </w:t>
      </w:r>
      <w:r w:rsidRPr="008769A4">
        <w:t>имеющие определенный экономический смысл: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Показатели на 1 руб. затрат на исследования и разработки: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e</w:t>
      </w:r>
      <w:r>
        <w:t xml:space="preserve"> - </w:t>
      </w:r>
      <w:r w:rsidRPr="008769A4">
        <w:t>экономическая эффективность затрат на исследования и разработки (V/R);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s</w:t>
      </w:r>
      <w:r>
        <w:t xml:space="preserve"> - </w:t>
      </w:r>
      <w:r w:rsidRPr="008769A4">
        <w:t>социальная эффективность затрат на исследования и разработки (M/R);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c</w:t>
      </w:r>
      <w:r>
        <w:t xml:space="preserve"> - </w:t>
      </w:r>
      <w:r w:rsidRPr="008769A4">
        <w:t>обеспеченность инновационных процессов необходимым приростом основных фондов (I/R).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Показатели на душу населения: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v</w:t>
      </w:r>
      <w:r>
        <w:t xml:space="preserve"> - </w:t>
      </w:r>
      <w:r w:rsidRPr="008769A4">
        <w:t>валовой региональный продукт (V/P);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m</w:t>
      </w:r>
      <w:r>
        <w:t xml:space="preserve"> - </w:t>
      </w:r>
      <w:r w:rsidRPr="008769A4">
        <w:t>денежные доходы (M/P);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i</w:t>
      </w:r>
      <w:r>
        <w:t xml:space="preserve"> - </w:t>
      </w:r>
      <w:r w:rsidRPr="008769A4">
        <w:t>инвестиции в основной капитал (I/P);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r</w:t>
      </w:r>
      <w:r>
        <w:t xml:space="preserve"> - </w:t>
      </w:r>
      <w:r w:rsidRPr="008769A4">
        <w:t>внутренние затраты на исследования и разработки (R/P).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Темповые показатели: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tV</w:t>
      </w:r>
      <w:r>
        <w:t xml:space="preserve"> - </w:t>
      </w:r>
      <w:r w:rsidRPr="008769A4">
        <w:t>среднегодовой темп роста валового регионального продукта;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tM</w:t>
      </w:r>
      <w:r>
        <w:t xml:space="preserve"> - </w:t>
      </w:r>
      <w:r w:rsidRPr="008769A4">
        <w:t>среднегодовой темп роста денежных доходов на душу населения;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tI</w:t>
      </w:r>
      <w:r>
        <w:t xml:space="preserve"> - </w:t>
      </w:r>
      <w:r w:rsidRPr="008769A4">
        <w:t>среднегодовой темп роста инвестиций в основной капитал;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tR</w:t>
      </w:r>
      <w:r>
        <w:t xml:space="preserve"> - </w:t>
      </w:r>
      <w:r w:rsidRPr="008769A4">
        <w:t>среднегодовой темп роста внутренних затрат на исследования и разработки.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Часть относительных показателей в зависимости от конкретных тактических и стратегических задач</w:t>
      </w:r>
      <w:r>
        <w:t xml:space="preserve">, </w:t>
      </w:r>
      <w:r w:rsidRPr="008769A4">
        <w:t>стоящих перед органами управления</w:t>
      </w:r>
      <w:r>
        <w:t xml:space="preserve">, </w:t>
      </w:r>
      <w:r w:rsidRPr="008769A4">
        <w:t>могут выступать в качестве критериев управления.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В рамках исследования были выдвинуты и проверены некоторые гипотезы.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Анализ литературы показал</w:t>
      </w:r>
      <w:r>
        <w:t xml:space="preserve">, </w:t>
      </w:r>
      <w:r w:rsidRPr="008769A4">
        <w:t>что наиболее распространенный способ моделирования экономических систем</w:t>
      </w:r>
      <w:r>
        <w:t xml:space="preserve"> - </w:t>
      </w:r>
      <w:r w:rsidRPr="008769A4">
        <w:t>построение модели типа «тренд + циклическая составляющая + случайная компонента». В реальности данная модель является достаточно жесткой и не отражает особенностей поведения экономической системы.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Главная идея нелинейной динамики состоит в том</w:t>
      </w:r>
      <w:r>
        <w:t xml:space="preserve">, </w:t>
      </w:r>
      <w:r w:rsidRPr="008769A4">
        <w:t>что многие сложные системы могут быть просто описаны с помощью нескольких переменных</w:t>
      </w:r>
      <w:r>
        <w:t xml:space="preserve"> - </w:t>
      </w:r>
      <w:r w:rsidRPr="008769A4">
        <w:t>параметров порядка. В наиболее важных областях пространства параметров</w:t>
      </w:r>
      <w:r>
        <w:t xml:space="preserve">, </w:t>
      </w:r>
      <w:r w:rsidRPr="008769A4">
        <w:t>где меняется число или устойчивость решений</w:t>
      </w:r>
      <w:r>
        <w:t xml:space="preserve">, </w:t>
      </w:r>
      <w:r w:rsidRPr="008769A4">
        <w:t>систему можно описывать с помощью одних и тех же соотношений. Это требует локального анализа поведения системы [16].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В данном исследовании выдвигались к рассмотрению следующие виды нелинейных моделей: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экспоненциальная функция:</w:t>
      </w:r>
      <w:r>
        <w:t xml:space="preserve"> </w:t>
      </w:r>
      <w:r w:rsidRPr="008769A4">
        <w:t>y = aebx (1)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логарифмическая функция:</w:t>
      </w:r>
      <w:r>
        <w:t xml:space="preserve"> </w:t>
      </w:r>
      <w:r w:rsidRPr="008769A4">
        <w:t>y = a + b 1n x</w:t>
      </w:r>
      <w:r>
        <w:t xml:space="preserve"> </w:t>
      </w:r>
      <w:r w:rsidRPr="008769A4">
        <w:t>(2)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степенная функция:</w:t>
      </w:r>
      <w:r>
        <w:t xml:space="preserve"> </w:t>
      </w:r>
      <w:r w:rsidRPr="008769A4">
        <w:t>y = axb (3)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полиномиальная функция:</w:t>
      </w:r>
      <w:r>
        <w:t xml:space="preserve"> </w:t>
      </w:r>
      <w:r w:rsidRPr="008769A4">
        <w:t>y = a + b1x + b2x2 +... + bnxn (4)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Указанные виды нелинейных функций использовались для аппроксимации потенциальных функций к фактическим статистическим данным для следующих зависимостей: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e = ƒ (c)</w:t>
      </w:r>
      <w:r>
        <w:t xml:space="preserve"> </w:t>
      </w:r>
      <w:r w:rsidRPr="008769A4">
        <w:t>(5)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v = ƒ (c)</w:t>
      </w:r>
      <w:r>
        <w:t xml:space="preserve"> </w:t>
      </w:r>
      <w:r w:rsidRPr="008769A4">
        <w:t>(6)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v = ƒ (r)</w:t>
      </w:r>
      <w:r>
        <w:t xml:space="preserve"> </w:t>
      </w:r>
      <w:r w:rsidRPr="008769A4">
        <w:t>(7)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Первым этапом нелинейного моделирования ЭТР является выбор аппроксимирующей функции (1)-(4) для ограниченного числа взаимосвязанных показателей (5)-(7). Обработка экспериментальных данных в каждом случае проводилась методом наименьших квадратов. Во всех случаях опытным путем было доказано</w:t>
      </w:r>
      <w:r>
        <w:t xml:space="preserve">, </w:t>
      </w:r>
      <w:r w:rsidRPr="008769A4">
        <w:t>что наилучшей аппроксимирующей функцией является полиномиальная функция различных степеней вида (4). В дальнейшем сравнение прогностических качеств моделей проводилось только по числу степеней полинома.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Для дальнейшего моделирования зависимостей были составлены корреляционные матрицы (табл. 1-3) с целью отбора тех показателей</w:t>
      </w:r>
      <w:r>
        <w:t xml:space="preserve">, </w:t>
      </w:r>
      <w:r w:rsidRPr="008769A4">
        <w:t>между которыми наблюдается сильная теснота связи.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Естественным образом подтвердилось наличие тесной связи между среднедушевым ВРП и такими показателями</w:t>
      </w:r>
      <w:r>
        <w:t xml:space="preserve">, </w:t>
      </w:r>
      <w:r w:rsidRPr="008769A4">
        <w:t>как инвестиции и затраты на исследования и разработки</w:t>
      </w:r>
      <w:r>
        <w:t xml:space="preserve">, </w:t>
      </w:r>
      <w:r w:rsidRPr="008769A4">
        <w:t>приведенные на душу населения. Значимая корреляция наблюдается между денежными доходами и инвестициями на душу населения</w:t>
      </w:r>
      <w:r>
        <w:t xml:space="preserve">, </w:t>
      </w:r>
      <w:r w:rsidRPr="008769A4">
        <w:t>а также затратами на исследования и разработки (табл. 1).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Таблица 1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Корреляционная матрица для среднедушевых показателей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9"/>
        <w:gridCol w:w="1666"/>
        <w:gridCol w:w="1971"/>
        <w:gridCol w:w="2193"/>
        <w:gridCol w:w="1719"/>
      </w:tblGrid>
      <w:tr w:rsidR="004A3D8E" w:rsidRPr="008769A4" w:rsidTr="00C1142B">
        <w:trPr>
          <w:tblCellSpacing w:w="15" w:type="dxa"/>
        </w:trPr>
        <w:tc>
          <w:tcPr>
            <w:tcW w:w="10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/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ВРП на душу населения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Инвестиции на душу населения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Затраты на исследования и разработки на душу населения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Денежные доходы на душу населения</w:t>
            </w:r>
          </w:p>
        </w:tc>
      </w:tr>
      <w:tr w:rsidR="004A3D8E" w:rsidRPr="008769A4" w:rsidTr="00C1142B">
        <w:trPr>
          <w:tblCellSpacing w:w="15" w:type="dxa"/>
        </w:trPr>
        <w:tc>
          <w:tcPr>
            <w:tcW w:w="10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ВРП на душу населения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1</w:t>
            </w:r>
            <w:r>
              <w:t xml:space="preserve">, </w:t>
            </w:r>
            <w:r w:rsidRPr="008769A4">
              <w:t>00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99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81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93</w:t>
            </w:r>
          </w:p>
        </w:tc>
      </w:tr>
      <w:tr w:rsidR="004A3D8E" w:rsidRPr="008769A4" w:rsidTr="00C1142B">
        <w:trPr>
          <w:tblCellSpacing w:w="15" w:type="dxa"/>
        </w:trPr>
        <w:tc>
          <w:tcPr>
            <w:tcW w:w="10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Инвестиции на душу населения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99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1</w:t>
            </w:r>
            <w:r>
              <w:t xml:space="preserve">, </w:t>
            </w:r>
            <w:r w:rsidRPr="008769A4">
              <w:t>00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82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94</w:t>
            </w:r>
          </w:p>
        </w:tc>
      </w:tr>
      <w:tr w:rsidR="004A3D8E" w:rsidRPr="008769A4" w:rsidTr="00C1142B">
        <w:trPr>
          <w:tblCellSpacing w:w="15" w:type="dxa"/>
        </w:trPr>
        <w:tc>
          <w:tcPr>
            <w:tcW w:w="10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Затраты на исследования и разработки на душу населения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81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82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1</w:t>
            </w:r>
            <w:r>
              <w:t xml:space="preserve">, </w:t>
            </w:r>
            <w:r w:rsidRPr="008769A4">
              <w:t>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95</w:t>
            </w:r>
          </w:p>
        </w:tc>
      </w:tr>
      <w:tr w:rsidR="004A3D8E" w:rsidRPr="008769A4" w:rsidTr="00C1142B">
        <w:trPr>
          <w:tblCellSpacing w:w="15" w:type="dxa"/>
        </w:trPr>
        <w:tc>
          <w:tcPr>
            <w:tcW w:w="10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Денежные доходы на душу населения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93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94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95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1</w:t>
            </w:r>
            <w:r>
              <w:t xml:space="preserve">, </w:t>
            </w:r>
            <w:r w:rsidRPr="008769A4">
              <w:t>00</w:t>
            </w:r>
          </w:p>
        </w:tc>
      </w:tr>
    </w:tbl>
    <w:p w:rsidR="004A3D8E" w:rsidRPr="008769A4" w:rsidRDefault="004A3D8E" w:rsidP="004A3D8E">
      <w:pPr>
        <w:spacing w:before="120"/>
        <w:ind w:firstLine="567"/>
        <w:jc w:val="both"/>
      </w:pPr>
      <w:r w:rsidRPr="008769A4">
        <w:t>Установлено наличие тесной связи между показателями</w:t>
      </w:r>
      <w:r>
        <w:t xml:space="preserve">, </w:t>
      </w:r>
      <w:r w:rsidRPr="008769A4">
        <w:t>приведенными на 1 руб. затрат на исследования и разработки. В частности</w:t>
      </w:r>
      <w:r>
        <w:t xml:space="preserve">, </w:t>
      </w:r>
      <w:r w:rsidRPr="008769A4">
        <w:t>это связи по парам «экономическая эффективность инноваций и обеспеченность инноваций приростом основных фондов»</w:t>
      </w:r>
      <w:r>
        <w:t xml:space="preserve">, </w:t>
      </w:r>
      <w:r w:rsidRPr="008769A4">
        <w:t>«социальная эффективность инноваций и обеспеченность инноваций приростом основных фондов» (табл. 2).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Таблица 2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Корреляционная матрица для показателей</w:t>
      </w:r>
      <w:r>
        <w:t xml:space="preserve">, </w:t>
      </w:r>
      <w:r w:rsidRPr="008769A4">
        <w:t>приведенных на 1 руб. затрат на исследования и разработки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4"/>
        <w:gridCol w:w="2493"/>
        <w:gridCol w:w="2578"/>
        <w:gridCol w:w="2093"/>
      </w:tblGrid>
      <w:tr w:rsidR="004A3D8E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/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Экономическая эффективность затрат на исследования и разработки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Обеспеченность инновационных процессов необходимым приростом основных фондов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Социальная эффективность затрат на исследования и разработки</w:t>
            </w:r>
          </w:p>
        </w:tc>
      </w:tr>
      <w:tr w:rsidR="004A3D8E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Экономическая эффективность затрат на исследования и разработки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1</w:t>
            </w:r>
            <w:r>
              <w:t xml:space="preserve">, </w:t>
            </w:r>
            <w:r w:rsidRPr="008769A4">
              <w:t>00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88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65</w:t>
            </w:r>
          </w:p>
        </w:tc>
      </w:tr>
      <w:tr w:rsidR="004A3D8E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Обеспеченность инновационных процессов приростом основных фондов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88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1</w:t>
            </w:r>
            <w:r>
              <w:t xml:space="preserve">, </w:t>
            </w:r>
            <w:r w:rsidRPr="008769A4">
              <w:t>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82</w:t>
            </w:r>
          </w:p>
        </w:tc>
      </w:tr>
      <w:tr w:rsidR="004A3D8E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Социальная эффективность затрат на исследования и разработки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65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82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1</w:t>
            </w:r>
            <w:r>
              <w:t xml:space="preserve">, </w:t>
            </w:r>
            <w:r w:rsidRPr="008769A4">
              <w:t>00</w:t>
            </w:r>
          </w:p>
        </w:tc>
      </w:tr>
    </w:tbl>
    <w:p w:rsidR="004A3D8E" w:rsidRPr="008769A4" w:rsidRDefault="004A3D8E" w:rsidP="004A3D8E">
      <w:pPr>
        <w:spacing w:before="120"/>
        <w:ind w:firstLine="567"/>
        <w:jc w:val="both"/>
      </w:pPr>
      <w:r w:rsidRPr="008769A4">
        <w:t>По корреляции темповых показателей выяснено</w:t>
      </w:r>
      <w:r>
        <w:t xml:space="preserve">, </w:t>
      </w:r>
      <w:r w:rsidRPr="008769A4">
        <w:t>что существует прямая достаточно значимая связь темпов роста ВРП и темпов роста инвестиций. Теснота связи темпов роста ВРП и темпов роста затрат на исследования и разработки</w:t>
      </w:r>
      <w:r>
        <w:t xml:space="preserve"> - </w:t>
      </w:r>
      <w:r w:rsidRPr="008769A4">
        <w:t>средняя</w:t>
      </w:r>
      <w:r>
        <w:t xml:space="preserve">, </w:t>
      </w:r>
      <w:r w:rsidRPr="008769A4">
        <w:t>что может свидетельствовать о наличии временного лага между вложениями в исследования и производством добавленной стоимости (табл. 3).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Таблица 3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Корреляционная матрица для темповых показателей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3"/>
        <w:gridCol w:w="1742"/>
        <w:gridCol w:w="1890"/>
        <w:gridCol w:w="2177"/>
        <w:gridCol w:w="1756"/>
      </w:tblGrid>
      <w:tr w:rsidR="004A3D8E" w:rsidRPr="008769A4" w:rsidTr="00C1142B">
        <w:trPr>
          <w:tblCellSpacing w:w="15" w:type="dxa"/>
        </w:trPr>
        <w:tc>
          <w:tcPr>
            <w:tcW w:w="10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/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Темп роста ВРП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Темп роста инвестиций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Темп роста затрат на исследования и разработки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Темп роста денежных доходов</w:t>
            </w:r>
          </w:p>
        </w:tc>
      </w:tr>
      <w:tr w:rsidR="004A3D8E" w:rsidRPr="008769A4" w:rsidTr="00C1142B">
        <w:trPr>
          <w:tblCellSpacing w:w="15" w:type="dxa"/>
        </w:trPr>
        <w:tc>
          <w:tcPr>
            <w:tcW w:w="10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Темп роста ВРП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1</w:t>
            </w:r>
            <w:r>
              <w:t xml:space="preserve">, </w:t>
            </w:r>
            <w:r w:rsidRPr="008769A4">
              <w:t>00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90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67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73</w:t>
            </w:r>
          </w:p>
        </w:tc>
      </w:tr>
      <w:tr w:rsidR="004A3D8E" w:rsidRPr="008769A4" w:rsidTr="00C1142B">
        <w:trPr>
          <w:tblCellSpacing w:w="15" w:type="dxa"/>
        </w:trPr>
        <w:tc>
          <w:tcPr>
            <w:tcW w:w="10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Темп роста инвестиций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90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1</w:t>
            </w:r>
            <w:r>
              <w:t xml:space="preserve">, </w:t>
            </w:r>
            <w:r w:rsidRPr="008769A4">
              <w:t>00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64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68</w:t>
            </w:r>
          </w:p>
        </w:tc>
      </w:tr>
      <w:tr w:rsidR="004A3D8E" w:rsidRPr="008769A4" w:rsidTr="00C1142B">
        <w:trPr>
          <w:tblCellSpacing w:w="15" w:type="dxa"/>
        </w:trPr>
        <w:tc>
          <w:tcPr>
            <w:tcW w:w="10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Темп роста затрат на исследования и разработки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67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64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1</w:t>
            </w:r>
            <w:r>
              <w:t xml:space="preserve">, </w:t>
            </w:r>
            <w:r w:rsidRPr="008769A4">
              <w:t>00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79</w:t>
            </w:r>
          </w:p>
        </w:tc>
      </w:tr>
      <w:tr w:rsidR="004A3D8E" w:rsidRPr="008769A4" w:rsidTr="00C1142B">
        <w:trPr>
          <w:tblCellSpacing w:w="15" w:type="dxa"/>
        </w:trPr>
        <w:tc>
          <w:tcPr>
            <w:tcW w:w="10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Темп роста денежных доходов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73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68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0</w:t>
            </w:r>
            <w:r>
              <w:t xml:space="preserve">, </w:t>
            </w:r>
            <w:r w:rsidRPr="008769A4">
              <w:t>79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3D8E" w:rsidRPr="008769A4" w:rsidRDefault="004A3D8E" w:rsidP="00C1142B">
            <w:r w:rsidRPr="008769A4">
              <w:t>1</w:t>
            </w:r>
            <w:r>
              <w:t xml:space="preserve">, </w:t>
            </w:r>
            <w:r w:rsidRPr="008769A4">
              <w:t>00</w:t>
            </w:r>
          </w:p>
        </w:tc>
      </w:tr>
    </w:tbl>
    <w:p w:rsidR="004A3D8E" w:rsidRPr="008769A4" w:rsidRDefault="004A3D8E" w:rsidP="004A3D8E">
      <w:pPr>
        <w:spacing w:before="120"/>
        <w:ind w:firstLine="567"/>
        <w:jc w:val="both"/>
      </w:pPr>
      <w:r w:rsidRPr="008769A4">
        <w:t>Пары зависимостей</w:t>
      </w:r>
      <w:r>
        <w:t xml:space="preserve">, </w:t>
      </w:r>
      <w:r w:rsidRPr="008769A4">
        <w:t>по которым наблюдалась тесная связь (коэффициент корреляции 0</w:t>
      </w:r>
      <w:r>
        <w:t xml:space="preserve">, </w:t>
      </w:r>
      <w:r w:rsidRPr="008769A4">
        <w:t>70-0</w:t>
      </w:r>
      <w:r>
        <w:t xml:space="preserve">, </w:t>
      </w:r>
      <w:r w:rsidRPr="008769A4">
        <w:t>99)</w:t>
      </w:r>
      <w:r>
        <w:t xml:space="preserve">, </w:t>
      </w:r>
      <w:r w:rsidRPr="008769A4">
        <w:t>обработаны полиномами различных степеней. Так</w:t>
      </w:r>
      <w:r>
        <w:t xml:space="preserve">, </w:t>
      </w:r>
      <w:r w:rsidRPr="008769A4">
        <w:t>например</w:t>
      </w:r>
      <w:r>
        <w:t xml:space="preserve">, </w:t>
      </w:r>
      <w:r w:rsidRPr="008769A4">
        <w:t>в большинстве случаев экспериментальные данные обрабатывались полиномом 4-й степени: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rPr>
          <w:lang w:val="en-US"/>
        </w:rPr>
        <w:t xml:space="preserve">y = b0 + b1x + b2x2 + b3x3 + b4x4. </w:t>
      </w:r>
      <w:r w:rsidRPr="008769A4">
        <w:t>(8)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Параметры b0</w:t>
      </w:r>
      <w:r>
        <w:t xml:space="preserve">, </w:t>
      </w:r>
      <w:r w:rsidRPr="008769A4">
        <w:t>b1</w:t>
      </w:r>
      <w:r>
        <w:t xml:space="preserve">, </w:t>
      </w:r>
      <w:r w:rsidRPr="008769A4">
        <w:t>b2</w:t>
      </w:r>
      <w:r>
        <w:t xml:space="preserve">, </w:t>
      </w:r>
      <w:r w:rsidRPr="008769A4">
        <w:t>b3</w:t>
      </w:r>
      <w:r>
        <w:t xml:space="preserve">, </w:t>
      </w:r>
      <w:r w:rsidRPr="008769A4">
        <w:t>b4 определялись для функции y=ƒ (x) на основании статистических данных.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Оценка модели e = ƒ (c). В исследовании было рассмотрено обособленное влияние инвестиций</w:t>
      </w:r>
      <w:r>
        <w:t xml:space="preserve"> - </w:t>
      </w:r>
      <w:r w:rsidRPr="008769A4">
        <w:t>модель v=ƒ (i)</w:t>
      </w:r>
      <w:r>
        <w:t xml:space="preserve"> - </w:t>
      </w:r>
      <w:r w:rsidRPr="008769A4">
        <w:t>и затрат на исследования и разработки</w:t>
      </w:r>
      <w:r>
        <w:t xml:space="preserve"> - </w:t>
      </w:r>
      <w:r w:rsidRPr="008769A4">
        <w:t>модель v=ƒ (r)</w:t>
      </w:r>
      <w:r>
        <w:t xml:space="preserve"> - </w:t>
      </w:r>
      <w:r w:rsidRPr="008769A4">
        <w:t>на ВРП. Вместе с тем необходимо понимать</w:t>
      </w:r>
      <w:r>
        <w:t xml:space="preserve">, </w:t>
      </w:r>
      <w:r w:rsidRPr="008769A4">
        <w:t>что эти процессы происходят одновременно. Рост валовой добавленной стоимости</w:t>
      </w:r>
      <w:r>
        <w:t xml:space="preserve">, </w:t>
      </w:r>
      <w:r w:rsidRPr="008769A4">
        <w:t>а соответственно и доходов населения</w:t>
      </w:r>
      <w:r>
        <w:t xml:space="preserve">, </w:t>
      </w:r>
      <w:r w:rsidRPr="008769A4">
        <w:t>приводит к росту валовых сбережений</w:t>
      </w:r>
      <w:r>
        <w:t xml:space="preserve">, </w:t>
      </w:r>
      <w:r w:rsidRPr="008769A4">
        <w:t>что в свою очередь увеличивает валовые инвестиции. Исследования и разработки</w:t>
      </w:r>
      <w:r>
        <w:t xml:space="preserve">, </w:t>
      </w:r>
      <w:r w:rsidRPr="008769A4">
        <w:t>воплощенные в конечной продукции</w:t>
      </w:r>
      <w:r>
        <w:t xml:space="preserve">, </w:t>
      </w:r>
      <w:r w:rsidRPr="008769A4">
        <w:t>увеличивают валовую добавленную стоимость и предъявляют большой спрос на инвестиционные ресурсы для обновления основного капитала предприятий. При этом потенциал использования как старого</w:t>
      </w:r>
      <w:r>
        <w:t xml:space="preserve">, </w:t>
      </w:r>
      <w:r w:rsidRPr="008769A4">
        <w:t>так и нового знания зависит от имеющегося запаса основного (физического) капитала и от темпа его накопления. В то же время само накопление физического капитала представляет собой не что иное</w:t>
      </w:r>
      <w:r>
        <w:t xml:space="preserve">, </w:t>
      </w:r>
      <w:r w:rsidRPr="008769A4">
        <w:t>как воплощаемое в экономике новое знание.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Ключевой характеристикой экономически растущего общества является «технологический динамизм»; чем он больше</w:t>
      </w:r>
      <w:r>
        <w:t xml:space="preserve">, </w:t>
      </w:r>
      <w:r w:rsidRPr="008769A4">
        <w:t>тем выше расположена выпуклая кривая технического прогресса в осях координат «темп роста выпуска (добавленной стоимости)</w:t>
      </w:r>
      <w:r>
        <w:t xml:space="preserve"> - </w:t>
      </w:r>
      <w:r w:rsidRPr="008769A4">
        <w:t>темп накопления капитала (инвестиций)»</w:t>
      </w:r>
      <w:r>
        <w:t xml:space="preserve"> - </w:t>
      </w:r>
      <w:r w:rsidRPr="008769A4">
        <w:t>рис. 1. При этом выпуклость отражает известное свойство убывающей производительности капитала.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Таким образом</w:t>
      </w:r>
      <w:r>
        <w:t xml:space="preserve">, </w:t>
      </w:r>
      <w:r w:rsidRPr="008769A4">
        <w:t>экономическое развитие определяется как капиталовооруженностью и ее динамикой</w:t>
      </w:r>
      <w:r>
        <w:t xml:space="preserve">, </w:t>
      </w:r>
      <w:r w:rsidRPr="008769A4">
        <w:t>обусловленной</w:t>
      </w:r>
      <w:r>
        <w:t xml:space="preserve">, </w:t>
      </w:r>
      <w:r w:rsidRPr="008769A4">
        <w:t>прежде всего</w:t>
      </w:r>
      <w:r>
        <w:t xml:space="preserve">, </w:t>
      </w:r>
      <w:r w:rsidRPr="008769A4">
        <w:t>инвестициями</w:t>
      </w:r>
      <w:r>
        <w:t xml:space="preserve">, </w:t>
      </w:r>
      <w:r w:rsidRPr="008769A4">
        <w:t>так и затратами на НИОКР. Кроме того</w:t>
      </w:r>
      <w:r>
        <w:t xml:space="preserve">, </w:t>
      </w:r>
      <w:r w:rsidRPr="008769A4">
        <w:t>при моделировании инвестиционно-инновационной динамики важно учитывать определенный лаг (временное запаздывание) в изменении роста валовой добавленной стоимости от прироста инвестиций и затрат на исследования и разработки. На рис. 2 показана динамика ВРП текущего года на рубль затрат на НИОКР предыдущего года и динамика инвестиций на рубль затрат на НИОКР с лагом в один год.</w:t>
      </w:r>
    </w:p>
    <w:p w:rsidR="004A3D8E" w:rsidRPr="008769A4" w:rsidRDefault="005C544B" w:rsidP="004A3D8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к потенциальной функции для зависимости темпов роста ВРП от темпа роста инвестиций." style="width:350.25pt;height:257.25pt">
            <v:imagedata r:id="rId4" o:title=""/>
          </v:shape>
        </w:pic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На рис. 2 отчетливо видно</w:t>
      </w:r>
      <w:r>
        <w:t xml:space="preserve">, </w:t>
      </w:r>
      <w:r w:rsidRPr="008769A4">
        <w:t xml:space="preserve">что в кризисный </w:t>
      </w:r>
      <w:smartTag w:uri="urn:schemas-microsoft-com:office:smarttags" w:element="metricconverter">
        <w:smartTagPr>
          <w:attr w:name="ProductID" w:val="1998 г"/>
        </w:smartTagPr>
        <w:r w:rsidRPr="008769A4">
          <w:t>1998 г</w:t>
        </w:r>
      </w:smartTag>
      <w:r w:rsidRPr="008769A4">
        <w:t>. экономическая эффективность затрат на исследования и разработки</w:t>
      </w:r>
      <w:r>
        <w:t xml:space="preserve">, </w:t>
      </w:r>
      <w:r w:rsidRPr="008769A4">
        <w:t>хотя и существенно уменьшилась</w:t>
      </w:r>
      <w:r>
        <w:t xml:space="preserve">, </w:t>
      </w:r>
      <w:r w:rsidRPr="008769A4">
        <w:t>но не достигла минимального значения. Минимальные значения ВРП на рубль затрат на НИОКР и обеспеченность НИОКР инвестиционными ресурсами приходятся на начало стабилизации экономического роста</w:t>
      </w:r>
      <w:r>
        <w:t xml:space="preserve"> - </w:t>
      </w:r>
      <w:smartTag w:uri="urn:schemas-microsoft-com:office:smarttags" w:element="metricconverter">
        <w:smartTagPr>
          <w:attr w:name="ProductID" w:val="2002 г"/>
        </w:smartTagPr>
        <w:r w:rsidRPr="008769A4">
          <w:t>2002 г</w:t>
        </w:r>
      </w:smartTag>
      <w:r w:rsidRPr="008769A4">
        <w:t>.</w:t>
      </w:r>
    </w:p>
    <w:p w:rsidR="004A3D8E" w:rsidRPr="008769A4" w:rsidRDefault="005C544B" w:rsidP="004A3D8E">
      <w:pPr>
        <w:spacing w:before="120"/>
        <w:ind w:firstLine="567"/>
        <w:jc w:val="both"/>
      </w:pPr>
      <w:r>
        <w:pict>
          <v:shape id="_x0000_i1026" type="#_x0000_t75" alt="Диаграмма динамики ВРП текущего года на рубль затрат на НИОКР предыдущего года." style="width:345.75pt;height:211.5pt">
            <v:imagedata r:id="rId5" o:title=""/>
          </v:shape>
        </w:pic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Это может быть объяснено тем</w:t>
      </w:r>
      <w:r>
        <w:t xml:space="preserve">, </w:t>
      </w:r>
      <w:r w:rsidRPr="008769A4">
        <w:t>что в момент завершения периода восстановительного роста небольшой прирост затрат на НИОКР резко увеличивает полезность инновационной продукции. При этом существующий спрос начинает удовлетворяться путем выпуска меньшего числа продуктов и за достаточно короткое время.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 xml:space="preserve">Тем не менее спад </w:t>
      </w:r>
      <w:smartTag w:uri="urn:schemas-microsoft-com:office:smarttags" w:element="metricconverter">
        <w:smartTagPr>
          <w:attr w:name="ProductID" w:val="1998 г"/>
        </w:smartTagPr>
        <w:r w:rsidRPr="008769A4">
          <w:t>1998 г</w:t>
        </w:r>
      </w:smartTag>
      <w:r w:rsidRPr="008769A4">
        <w:t>. был достаточно резким. К этому привела аморфность научно-промышленной политики в течение всего периода радикальных экономических преобразований</w:t>
      </w:r>
      <w:r>
        <w:t xml:space="preserve">, </w:t>
      </w:r>
      <w:r w:rsidRPr="008769A4">
        <w:t>проявившаяся в слабой стуктурированности целей и недостаточности мер прямой и косвенной поддержки инновационной деятельности.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Своевременного и адекватного возмещения финансово-ресурсной базы для инновационной деятельности за счет собственных (внутренних) источников предприятий или заемных средств не произошло</w:t>
      </w:r>
      <w:r>
        <w:t xml:space="preserve">, </w:t>
      </w:r>
      <w:r w:rsidRPr="008769A4">
        <w:t>да и не могло произойти в силу того</w:t>
      </w:r>
      <w:r>
        <w:t xml:space="preserve">, </w:t>
      </w:r>
      <w:r w:rsidRPr="008769A4">
        <w:t>что высокая активность в высокозатратной инновационной сфере может быть обеспечена только при условии доминирующей роли государства и его финансовой поддержке.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 xml:space="preserve">После </w:t>
      </w:r>
      <w:smartTag w:uri="urn:schemas-microsoft-com:office:smarttags" w:element="metricconverter">
        <w:smartTagPr>
          <w:attr w:name="ProductID" w:val="2002 г"/>
        </w:smartTagPr>
        <w:r w:rsidRPr="008769A4">
          <w:t>2002 г</w:t>
        </w:r>
      </w:smartTag>
      <w:r w:rsidRPr="008769A4">
        <w:t>. начинается период стабилизации роста</w:t>
      </w:r>
      <w:r>
        <w:t xml:space="preserve">, </w:t>
      </w:r>
      <w:r w:rsidRPr="008769A4">
        <w:t xml:space="preserve">когда ежегодное приращение обеспеченности НИОКР инвестиционными ресурсами в свою очередь вызывает рост экономической эффективности затрат на исследования и разработки. В предкризисный </w:t>
      </w:r>
      <w:smartTag w:uri="urn:schemas-microsoft-com:office:smarttags" w:element="metricconverter">
        <w:smartTagPr>
          <w:attr w:name="ProductID" w:val="2007 г"/>
        </w:smartTagPr>
        <w:r w:rsidRPr="008769A4">
          <w:t>2007 г</w:t>
        </w:r>
      </w:smartTag>
      <w:r w:rsidRPr="008769A4">
        <w:t>. инвестиции на рубль затрат на НИОКР продолжают расти</w:t>
      </w:r>
      <w:r>
        <w:t xml:space="preserve">, </w:t>
      </w:r>
      <w:r w:rsidRPr="008769A4">
        <w:t>но экономическая эффективность этих затрат начинает снижаться.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Приведенные выше выкладки позволяют экономически интерпретировать модель e=ƒ (c). Модель описывает зависимость экономической эффективности инноваций (ВРП на 1 руб. затрат на исследования и разработки предыдущего года) от показателя с</w:t>
      </w:r>
      <w:r>
        <w:t xml:space="preserve"> - </w:t>
      </w:r>
      <w:r w:rsidRPr="008769A4">
        <w:t>обеспеченности НИОКР необходимым притоком инвестиций за предыдущий период (рис. 3).</w:t>
      </w:r>
    </w:p>
    <w:p w:rsidR="004A3D8E" w:rsidRPr="008769A4" w:rsidRDefault="005C544B" w:rsidP="004A3D8E">
      <w:pPr>
        <w:spacing w:before="120"/>
        <w:ind w:firstLine="567"/>
        <w:jc w:val="both"/>
      </w:pPr>
      <w:r>
        <w:pict>
          <v:shape id="_x0000_i1027" type="#_x0000_t75" style="width:363pt;height:166.5pt">
            <v:imagedata r:id="rId6" o:title=""/>
          </v:shape>
        </w:pic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Рис. 3. Потенциальная функция для зависимости экономической эффективности НИОКР от обеспеченности НИОКР инвестиционными ресурсами за предыдущий период по Свердловской области за 1995-2007 гг.: аппроксимирующая функция</w:t>
      </w:r>
      <w:r>
        <w:t xml:space="preserve"> - </w:t>
      </w:r>
      <w:r w:rsidRPr="008769A4">
        <w:t>полином 6-й степени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Следует заметить</w:t>
      </w:r>
      <w:r>
        <w:t xml:space="preserve">, </w:t>
      </w:r>
      <w:r w:rsidRPr="008769A4">
        <w:t>что с точки зрения общей теории система</w:t>
      </w:r>
      <w:r>
        <w:t xml:space="preserve">, </w:t>
      </w:r>
      <w:r w:rsidRPr="008769A4">
        <w:t>в которой может успешно происходить возникновение и распространение новшеств</w:t>
      </w:r>
      <w:r>
        <w:t xml:space="preserve">, </w:t>
      </w:r>
      <w:r w:rsidRPr="008769A4">
        <w:t>должна обладать определенными структурными свойствами. Основное свойство с позиции объяснения эволюции системы связано с понятием структурной устойчивости. Под этим обычно подразумевается реакция рассматриваемой системы на введение в нее новых элементов (технологий</w:t>
      </w:r>
      <w:r>
        <w:t xml:space="preserve">, </w:t>
      </w:r>
      <w:r w:rsidRPr="008769A4">
        <w:t>продуктов</w:t>
      </w:r>
      <w:r>
        <w:t xml:space="preserve">, </w:t>
      </w:r>
      <w:r w:rsidRPr="008769A4">
        <w:t>организационно-управленческих решений и т. п.)</w:t>
      </w:r>
      <w:r>
        <w:t xml:space="preserve">, </w:t>
      </w:r>
      <w:r w:rsidRPr="008769A4">
        <w:t>способных увеличивать поле своей активности и вовлекать во взаимодействие другие элементы и процессы</w:t>
      </w:r>
      <w:r>
        <w:t xml:space="preserve">, </w:t>
      </w:r>
      <w:r w:rsidRPr="008769A4">
        <w:t>происходящие в системе. По-видимому</w:t>
      </w:r>
      <w:r>
        <w:t xml:space="preserve">, </w:t>
      </w:r>
      <w:r w:rsidRPr="008769A4">
        <w:t>в достаточно общей ситуации успешное внедрение новшеств связано с «расшатыванием» структурной устойчивости системы путем создания для нее сильно неравновесных условий. Таким образом</w:t>
      </w:r>
      <w:r>
        <w:t xml:space="preserve">, </w:t>
      </w:r>
      <w:r w:rsidRPr="008769A4">
        <w:t>система</w:t>
      </w:r>
      <w:r>
        <w:t xml:space="preserve">, </w:t>
      </w:r>
      <w:r w:rsidRPr="008769A4">
        <w:t>в которой новшества успешно применяются и могут перестроить систему на новый режим работы</w:t>
      </w:r>
      <w:r>
        <w:t xml:space="preserve">, </w:t>
      </w:r>
      <w:r w:rsidRPr="008769A4">
        <w:t>должна обладать некоторой структурной неустойчивостью в смысле неспособности противостоять возникающим структурным флуктуациям.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На рис. 3 показаны достаточно существенные флуктуации региональной социально-экономической системы. Учитывая большое число колебаний фактических данных</w:t>
      </w:r>
      <w:r>
        <w:t xml:space="preserve">, </w:t>
      </w:r>
      <w:r w:rsidRPr="008769A4">
        <w:t>в качестве аппроксимирующей функции был использован полином 6-й степени. Динамика фактических показателей может при этом рассматриваться как хаотическая [15].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 xml:space="preserve">На рис. 3 три минимума и два максимума функции e=ƒ (c). Крайний левый минимум описывает ситуацию </w:t>
      </w:r>
      <w:smartTag w:uri="urn:schemas-microsoft-com:office:smarttags" w:element="metricconverter">
        <w:smartTagPr>
          <w:attr w:name="ProductID" w:val="2002 г"/>
        </w:smartTagPr>
        <w:r w:rsidRPr="008769A4">
          <w:t>2002 г</w:t>
        </w:r>
      </w:smartTag>
      <w:r w:rsidRPr="008769A4">
        <w:t>.</w:t>
      </w:r>
      <w:r>
        <w:t xml:space="preserve">, </w:t>
      </w:r>
      <w:r w:rsidRPr="008769A4">
        <w:t>рассмотренную выше. Два других минимума позволяют сделать достаточно убедительный вывод о наличии бифуркации в инвестиционно-инновационной сфере в преддверии системных кризисов. Два устойчивых минимума экономической эффективности НИОКР</w:t>
      </w:r>
      <w:r>
        <w:t xml:space="preserve">, </w:t>
      </w:r>
      <w:r w:rsidRPr="008769A4">
        <w:t>примерно равных по величине</w:t>
      </w:r>
      <w:r>
        <w:t xml:space="preserve">, </w:t>
      </w:r>
      <w:r w:rsidRPr="008769A4">
        <w:t>возникают при разных значениях параметра «с».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Правый минимум соответствует низкому значению затрат на НИОКР в предкризисные 1996-1997 гг. В те годы действительно имело место недофинансирование сферы НИОКР со стороны государства</w:t>
      </w:r>
      <w:r>
        <w:t xml:space="preserve">, </w:t>
      </w:r>
      <w:r w:rsidRPr="008769A4">
        <w:t>а у частных предприятий не было средств на проведение исследований и разработок. Это привело к тому</w:t>
      </w:r>
      <w:r>
        <w:t xml:space="preserve">, </w:t>
      </w:r>
      <w:r w:rsidRPr="008769A4">
        <w:t>что в этот период параметр с был один из самых больших за весь анализируемый период. Средний минимум соответствует ситуации 2006-2007 гг. В этот период и затраты на НИОКР</w:t>
      </w:r>
      <w:r>
        <w:t xml:space="preserve">, </w:t>
      </w:r>
      <w:r w:rsidRPr="008769A4">
        <w:t>и инвестиции прирастали достаточно высокими темпами</w:t>
      </w:r>
      <w:r>
        <w:t xml:space="preserve">, </w:t>
      </w:r>
      <w:r w:rsidRPr="008769A4">
        <w:t>что привело к относительному снижению параметра с. Таким образом</w:t>
      </w:r>
      <w:r>
        <w:t xml:space="preserve">, </w:t>
      </w:r>
      <w:r w:rsidRPr="008769A4">
        <w:t>экономическая эффективность инноваций может достичь минимума при различных значениях обеспеченности НИОКР инвестиционными ресурсами.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Согласно экспериментальным данным</w:t>
      </w:r>
      <w:r>
        <w:t xml:space="preserve">, </w:t>
      </w:r>
      <w:r w:rsidRPr="008769A4">
        <w:t>максимальное значение экономической эффективности НИОКР наблюдается при больших значениях параметра с</w:t>
      </w:r>
      <w:r>
        <w:t xml:space="preserve">, </w:t>
      </w:r>
      <w:r w:rsidRPr="008769A4">
        <w:t>что соответствует ситуации</w:t>
      </w:r>
      <w:r>
        <w:t xml:space="preserve">, </w:t>
      </w:r>
      <w:r w:rsidRPr="008769A4">
        <w:t>когда инвестиции прирастают большими темпами</w:t>
      </w:r>
      <w:r>
        <w:t xml:space="preserve">, </w:t>
      </w:r>
      <w:r w:rsidRPr="008769A4">
        <w:t>чем прирастают затраты на исследования и разработки. Однако может наблюдаться и иная ситуация</w:t>
      </w:r>
      <w:r>
        <w:t xml:space="preserve">, </w:t>
      </w:r>
      <w:r w:rsidRPr="008769A4">
        <w:t>когда высоким значениям экономической эффективности НИОКР соответствуют малые величины затрат на исследования и разработки. При этом важно отслеживать «качество» этих затрат и направленность применения результатов НИОКР (нано- и биотехнологии</w:t>
      </w:r>
      <w:r>
        <w:t xml:space="preserve">, </w:t>
      </w:r>
      <w:r w:rsidRPr="008769A4">
        <w:t>информационные технологии</w:t>
      </w:r>
      <w:r>
        <w:t xml:space="preserve">, </w:t>
      </w:r>
      <w:r w:rsidRPr="008769A4">
        <w:t>эффективная энергетика</w:t>
      </w:r>
      <w:r>
        <w:t xml:space="preserve">, </w:t>
      </w:r>
      <w:r w:rsidRPr="008769A4">
        <w:t>высокотехнологичное здравоохранение и др.). Относительно небольшие затраты на исследования в этих отраслях экономики дадут колоссальный экономический эффект.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Говоря о «качестве» затрат на исследования и разработки</w:t>
      </w:r>
      <w:r>
        <w:t xml:space="preserve">, </w:t>
      </w:r>
      <w:r w:rsidRPr="008769A4">
        <w:t>необходимо остановиться на «инновационных ловушках развития». Для понимания сути этого явления воспользуемся терминологией Д. Норта [17]. Как отмечает Д. Норт</w:t>
      </w:r>
      <w:r>
        <w:t xml:space="preserve">, </w:t>
      </w:r>
      <w:r w:rsidRPr="008769A4">
        <w:t>«приращение изменений в технологической сфере</w:t>
      </w:r>
      <w:r>
        <w:t xml:space="preserve">, </w:t>
      </w:r>
      <w:r w:rsidRPr="008769A4">
        <w:t>однажды принявшее определенное направление</w:t>
      </w:r>
      <w:r>
        <w:t xml:space="preserve">, </w:t>
      </w:r>
      <w:r w:rsidRPr="008769A4">
        <w:t>может привести к победе одного технологического решения над другими даже тогда</w:t>
      </w:r>
      <w:r>
        <w:t xml:space="preserve">, </w:t>
      </w:r>
      <w:r w:rsidRPr="008769A4">
        <w:t>когда первое технологическое направление</w:t>
      </w:r>
      <w:r>
        <w:t xml:space="preserve">, </w:t>
      </w:r>
      <w:r w:rsidRPr="008769A4">
        <w:t>в конце концов</w:t>
      </w:r>
      <w:r>
        <w:t xml:space="preserve">, </w:t>
      </w:r>
      <w:r w:rsidRPr="008769A4">
        <w:t>оказывается менее эффективным по сравнению с отвергнутой альтернативой».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В этой связи</w:t>
      </w:r>
      <w:r>
        <w:t xml:space="preserve">, </w:t>
      </w:r>
      <w:r w:rsidRPr="008769A4">
        <w:t>рассматривая два максимума функции e=ƒ (c)</w:t>
      </w:r>
      <w:r>
        <w:t xml:space="preserve">, </w:t>
      </w:r>
      <w:r w:rsidRPr="008769A4">
        <w:t>мы можем отнести их к «инновационным ловушкам». Формирование инновационной ловушки происходит за менее короткий срок</w:t>
      </w:r>
      <w:r>
        <w:t xml:space="preserve">, </w:t>
      </w:r>
      <w:r w:rsidRPr="008769A4">
        <w:t>чем выход из нее. Выход из инновационной ловушки длителен и достаточно труден (бифуркационная точка</w:t>
      </w:r>
      <w:r>
        <w:t xml:space="preserve"> - </w:t>
      </w:r>
      <w:r w:rsidRPr="008769A4">
        <w:t>новый экономический кризис). Эволюционный путь возможен</w:t>
      </w:r>
      <w:r>
        <w:t xml:space="preserve">, </w:t>
      </w:r>
      <w:r w:rsidRPr="008769A4">
        <w:t>но только с помощью государства. Пока оно само не изменит свою политику с краткосрочной модели на долгосрочную и не начнет вкладывать в свой капитал (в большей степени в человеческий</w:t>
      </w:r>
      <w:r>
        <w:t xml:space="preserve">, </w:t>
      </w:r>
      <w:r w:rsidRPr="008769A4">
        <w:t>поскольку вложения в производственный капитал могут быть осуществлены и частным сектором)</w:t>
      </w:r>
      <w:r>
        <w:t xml:space="preserve">, </w:t>
      </w:r>
      <w:r w:rsidRPr="008769A4">
        <w:t>показывая</w:t>
      </w:r>
      <w:r>
        <w:t xml:space="preserve">, </w:t>
      </w:r>
      <w:r w:rsidRPr="008769A4">
        <w:t>таким образом</w:t>
      </w:r>
      <w:r>
        <w:t xml:space="preserve">, </w:t>
      </w:r>
      <w:r w:rsidRPr="008769A4">
        <w:t>серьезность своих намерений</w:t>
      </w:r>
      <w:r>
        <w:t xml:space="preserve">, </w:t>
      </w:r>
      <w:r w:rsidRPr="008769A4">
        <w:t>экономические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агенты будут чувствовать себя неуверенно и не будут осуществлять долгосрочных инвестиций и затрат на исследования и разработки</w:t>
      </w:r>
      <w:r>
        <w:t xml:space="preserve">, </w:t>
      </w:r>
      <w:r w:rsidRPr="008769A4">
        <w:t>т. е. менять свою поведенческую модель с краткосрочной на долгосрочную. Только тогда</w:t>
      </w:r>
      <w:r>
        <w:t xml:space="preserve">, </w:t>
      </w:r>
      <w:r w:rsidRPr="008769A4">
        <w:t>когда экономические агенты-резиденты начнут получать выгоды от следования долгосрочной модели</w:t>
      </w:r>
      <w:r>
        <w:t xml:space="preserve">, </w:t>
      </w:r>
      <w:r w:rsidRPr="008769A4">
        <w:t>можно ожидать перехода системы в точку устойчивого максимума.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Функция e=ƒ (c) является максимизируемой по определению. Соответственно движение к точке глобального максимума</w:t>
      </w:r>
      <w:r>
        <w:t xml:space="preserve"> - </w:t>
      </w:r>
      <w:r w:rsidRPr="008769A4">
        <w:t>есть процесс самоорганизации региональной социально-экономической системы</w:t>
      </w:r>
      <w:r>
        <w:t xml:space="preserve">, </w:t>
      </w:r>
      <w:r w:rsidRPr="008769A4">
        <w:t>а все остальные точки являются неустойчивыми. В целом же моделирование экономико-технологической реальности региона позволяет найти «точки роста» эффективности НИОКР при резонансном воздействии на конвергентные технологии.</w:t>
      </w:r>
    </w:p>
    <w:p w:rsidR="004A3D8E" w:rsidRDefault="004A3D8E" w:rsidP="004A3D8E">
      <w:pPr>
        <w:spacing w:before="120"/>
        <w:ind w:firstLine="567"/>
        <w:jc w:val="both"/>
      </w:pPr>
      <w:r w:rsidRPr="008769A4">
        <w:t>Следует отметить</w:t>
      </w:r>
      <w:r>
        <w:t xml:space="preserve">, </w:t>
      </w:r>
      <w:r w:rsidRPr="008769A4">
        <w:t>что экономико-технологическая реальность региона формируется при взаимопроникновении разных технологий</w:t>
      </w:r>
      <w:r>
        <w:t xml:space="preserve">, </w:t>
      </w:r>
      <w:r w:rsidRPr="008769A4">
        <w:t>это в каком-то смысле усредненная экономико-технологическая база устойчивого роста</w:t>
      </w:r>
      <w:r>
        <w:t xml:space="preserve">, </w:t>
      </w:r>
      <w:r w:rsidRPr="008769A4">
        <w:t>элементы которой отвечают ситуации</w:t>
      </w:r>
      <w:r>
        <w:t xml:space="preserve">, </w:t>
      </w:r>
      <w:r w:rsidRPr="008769A4">
        <w:t>предсказанной Ю.В. Яременко: «Ставка только на высокопродуктивные отрасли может привести к тому</w:t>
      </w:r>
      <w:r>
        <w:t xml:space="preserve">, </w:t>
      </w:r>
      <w:r w:rsidRPr="008769A4">
        <w:t>что экономика в целом будет низкопродуктивна</w:t>
      </w:r>
      <w:r>
        <w:t xml:space="preserve">, </w:t>
      </w:r>
      <w:r w:rsidRPr="008769A4">
        <w:t>маломасштабна... Страна с полной занятостью</w:t>
      </w:r>
      <w:r>
        <w:t xml:space="preserve">, </w:t>
      </w:r>
      <w:r w:rsidRPr="008769A4">
        <w:t>ориентированная на средние технологии</w:t>
      </w:r>
      <w:r>
        <w:t xml:space="preserve">, </w:t>
      </w:r>
      <w:r w:rsidRPr="008769A4">
        <w:t>в целом даст гораздо более высокую производительность труда» [17]. Концепция экономико-технологической реальности позволяет анализировать</w:t>
      </w:r>
      <w:r>
        <w:t xml:space="preserve">, </w:t>
      </w:r>
      <w:r w:rsidRPr="008769A4">
        <w:t>предвидеть и управлять синергетическими процессами и эффектами коэволюции сложившихся и возникающих технологических укладов</w:t>
      </w:r>
      <w:r>
        <w:t xml:space="preserve">, </w:t>
      </w:r>
      <w:r w:rsidRPr="008769A4">
        <w:t>избежать перекосов в структурной политике и способствовать успешному развитию региональных социально-экономических систем.</w:t>
      </w:r>
    </w:p>
    <w:p w:rsidR="004A3D8E" w:rsidRPr="008769A4" w:rsidRDefault="004A3D8E" w:rsidP="004A3D8E">
      <w:pPr>
        <w:spacing w:before="120"/>
        <w:jc w:val="center"/>
        <w:rPr>
          <w:b/>
          <w:sz w:val="28"/>
        </w:rPr>
      </w:pPr>
      <w:r w:rsidRPr="008769A4">
        <w:rPr>
          <w:b/>
          <w:sz w:val="28"/>
        </w:rPr>
        <w:t>Список литературы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1.</w:t>
      </w:r>
      <w:r>
        <w:t xml:space="preserve"> </w:t>
      </w:r>
      <w:r w:rsidRPr="008769A4">
        <w:t>Миндели Л.Э.</w:t>
      </w:r>
      <w:r>
        <w:t xml:space="preserve">, </w:t>
      </w:r>
      <w:r w:rsidRPr="008769A4">
        <w:t>Пипия Л.К. Концептуальные аспекты формирования экономики знаний // Проблемы прогнозирования. 2007. №3.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2.</w:t>
      </w:r>
      <w:r>
        <w:t xml:space="preserve"> </w:t>
      </w:r>
      <w:r w:rsidRPr="008769A4">
        <w:t>Сэмюэлс У.Дж.Институциональная экономическая теория //Панорама экономической мысли конца XX столетия. В 2х томах. СПб.: Экономическая школа</w:t>
      </w:r>
      <w:r>
        <w:t xml:space="preserve">, </w:t>
      </w:r>
      <w:r w:rsidRPr="008769A4">
        <w:t>2002. Т. 1.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3.</w:t>
      </w:r>
      <w:r>
        <w:t xml:space="preserve"> </w:t>
      </w:r>
      <w:r w:rsidRPr="008769A4">
        <w:t>Мейер К.</w:t>
      </w:r>
      <w:r>
        <w:t xml:space="preserve">, </w:t>
      </w:r>
      <w:r w:rsidRPr="008769A4">
        <w:t>Дэвис С. Живая организация. М.: Добрая книга</w:t>
      </w:r>
      <w:r>
        <w:t xml:space="preserve">, </w:t>
      </w:r>
      <w:r w:rsidRPr="008769A4">
        <w:t>2007.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4.</w:t>
      </w:r>
      <w:r>
        <w:t xml:space="preserve"> </w:t>
      </w:r>
      <w:r w:rsidRPr="008769A4">
        <w:t>Фостер Л. Нанотехнологии. Наука</w:t>
      </w:r>
      <w:r>
        <w:t xml:space="preserve">, </w:t>
      </w:r>
      <w:r w:rsidRPr="008769A4">
        <w:t>инновации и возможности. М.: Техносфера</w:t>
      </w:r>
      <w:r>
        <w:t xml:space="preserve">, </w:t>
      </w:r>
      <w:r w:rsidRPr="008769A4">
        <w:t>2008.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5.</w:t>
      </w:r>
      <w:r>
        <w:t xml:space="preserve"> </w:t>
      </w:r>
      <w:r w:rsidRPr="008769A4">
        <w:t>Котенко В.П. История и философия технической реальности: Учеб. пособие для вузов. М.: Академический проект; Трикста</w:t>
      </w:r>
      <w:r>
        <w:t xml:space="preserve">, </w:t>
      </w:r>
      <w:r w:rsidRPr="008769A4">
        <w:t>2009.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6.</w:t>
      </w:r>
      <w:r>
        <w:t xml:space="preserve"> </w:t>
      </w:r>
      <w:r w:rsidRPr="008769A4">
        <w:t>Кудрин Б.И. Онтология и гносеология технической реальности // Доклад на XXII Всемирном философском Конгрессе</w:t>
      </w:r>
      <w:r>
        <w:t xml:space="preserve">, </w:t>
      </w:r>
      <w:r w:rsidRPr="008769A4">
        <w:t xml:space="preserve">31 июля </w:t>
      </w:r>
      <w:smartTag w:uri="urn:schemas-microsoft-com:office:smarttags" w:element="metricconverter">
        <w:smartTagPr>
          <w:attr w:name="ProductID" w:val="2008 г"/>
        </w:smartTagPr>
        <w:r w:rsidRPr="008769A4">
          <w:t>2008 г</w:t>
        </w:r>
      </w:smartTag>
      <w:r w:rsidRPr="008769A4">
        <w:t>.</w:t>
      </w:r>
      <w:r>
        <w:t xml:space="preserve">, </w:t>
      </w:r>
      <w:r w:rsidRPr="008769A4">
        <w:t>Сеул.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7.</w:t>
      </w:r>
      <w:r>
        <w:t xml:space="preserve"> </w:t>
      </w:r>
      <w:r w:rsidRPr="008769A4">
        <w:t>Данилов Ю. А.</w:t>
      </w:r>
      <w:r>
        <w:t xml:space="preserve">, </w:t>
      </w:r>
      <w:r w:rsidRPr="008769A4">
        <w:t>Кадомцев Б. Б. Что такое синергетика? // Нелинейные волны. Самоорганизация. М.: Наука</w:t>
      </w:r>
      <w:r>
        <w:t xml:space="preserve">, </w:t>
      </w:r>
      <w:r w:rsidRPr="008769A4">
        <w:t>1983.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8.</w:t>
      </w:r>
      <w:r>
        <w:t xml:space="preserve"> </w:t>
      </w:r>
      <w:r w:rsidRPr="008769A4">
        <w:t>Мясникова Л. Смена парадигмы. Новый глобальный проект // Мировая экономика и международные отношения. 2006. №6.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9.</w:t>
      </w:r>
      <w:r>
        <w:t xml:space="preserve"> </w:t>
      </w:r>
      <w:r w:rsidRPr="008769A4">
        <w:t>Информационная экономика и концепции современного менеджмента: Материалы Первых Друкеров-ских чтений /Под ред. Р.М. Нижегородцева. М.: Доброе слово</w:t>
      </w:r>
      <w:r>
        <w:t xml:space="preserve">, </w:t>
      </w:r>
      <w:r w:rsidRPr="008769A4">
        <w:t>2006.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10.</w:t>
      </w:r>
      <w:r>
        <w:t xml:space="preserve"> </w:t>
      </w:r>
      <w:r w:rsidRPr="008769A4">
        <w:t>Стратегия научно-технологического прорыва // Сборник научных трудов под ред. Ю.В. Яковца</w:t>
      </w:r>
      <w:r>
        <w:t xml:space="preserve">, </w:t>
      </w:r>
      <w:r w:rsidRPr="008769A4">
        <w:t>ОМ. Юня. М.: МФК</w:t>
      </w:r>
      <w:r>
        <w:t xml:space="preserve">, </w:t>
      </w:r>
      <w:r w:rsidRPr="008769A4">
        <w:t>2001.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11.</w:t>
      </w:r>
      <w:r>
        <w:t xml:space="preserve"> </w:t>
      </w:r>
      <w:r w:rsidRPr="008769A4">
        <w:t>Хакен Г. Синергетика. М.: Мир</w:t>
      </w:r>
      <w:r>
        <w:t xml:space="preserve">, </w:t>
      </w:r>
      <w:r w:rsidRPr="008769A4">
        <w:t>1985.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12.</w:t>
      </w:r>
      <w:r>
        <w:t xml:space="preserve"> </w:t>
      </w:r>
      <w:r w:rsidRPr="008769A4">
        <w:t>Мун Ф. Хаотические колебания. М.: Мир</w:t>
      </w:r>
      <w:r>
        <w:t xml:space="preserve">, </w:t>
      </w:r>
      <w:r w:rsidRPr="008769A4">
        <w:t>1990.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13.</w:t>
      </w:r>
      <w:r>
        <w:t xml:space="preserve"> </w:t>
      </w:r>
      <w:r w:rsidRPr="008769A4">
        <w:t>Арнольд В. И. Теория катастроф. М.: Наука</w:t>
      </w:r>
      <w:r>
        <w:t xml:space="preserve">, </w:t>
      </w:r>
      <w:r w:rsidRPr="008769A4">
        <w:t>1983.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14.</w:t>
      </w:r>
      <w:r>
        <w:t xml:space="preserve"> </w:t>
      </w:r>
      <w:r w:rsidRPr="008769A4">
        <w:t>Гилмор Р. Прикладная теория катастроф. М.: Мир</w:t>
      </w:r>
      <w:r>
        <w:t xml:space="preserve">, </w:t>
      </w:r>
      <w:r w:rsidRPr="008769A4">
        <w:t>1984. T. 1</w:t>
      </w:r>
      <w:r>
        <w:t xml:space="preserve">, </w:t>
      </w:r>
      <w:r w:rsidRPr="008769A4">
        <w:t>2.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15.</w:t>
      </w:r>
      <w:r>
        <w:t xml:space="preserve"> </w:t>
      </w:r>
      <w:r w:rsidRPr="008769A4">
        <w:t>Быстрай Г.П. Методы синергетики в анализе структурных сдвигов в промышленности: Разработка унифицированных моделей и алгоритмов анализа устойчивости текущих состояний в условиях внешнего и внутреннего управления // Вестн. Кибернетики. Тюмень: Изд-во ИПОС СО РАН</w:t>
      </w:r>
      <w:r>
        <w:t xml:space="preserve">, </w:t>
      </w:r>
      <w:r w:rsidRPr="008769A4">
        <w:t>2003</w:t>
      </w:r>
      <w:r>
        <w:t xml:space="preserve">, </w:t>
      </w:r>
      <w:r w:rsidRPr="008769A4">
        <w:t>в. 2</w:t>
      </w:r>
      <w:r>
        <w:t xml:space="preserve">, </w:t>
      </w:r>
      <w:r w:rsidRPr="008769A4">
        <w:t>c. 71-88.</w:t>
      </w:r>
    </w:p>
    <w:p w:rsidR="004A3D8E" w:rsidRPr="008769A4" w:rsidRDefault="004A3D8E" w:rsidP="004A3D8E">
      <w:pPr>
        <w:spacing w:before="120"/>
        <w:ind w:firstLine="567"/>
        <w:jc w:val="both"/>
      </w:pPr>
      <w:r w:rsidRPr="008769A4">
        <w:t>16.</w:t>
      </w:r>
      <w:r>
        <w:t xml:space="preserve"> </w:t>
      </w:r>
      <w:r w:rsidRPr="008769A4">
        <w:t xml:space="preserve">Братченко Н.Ю. Разработка схемы исследования нелинейных динамических систем // Вестник ТИСБИ. </w:t>
      </w:r>
      <w:smartTag w:uri="urn:schemas-microsoft-com:office:smarttags" w:element="metricconverter">
        <w:smartTagPr>
          <w:attr w:name="ProductID" w:val="2005 г"/>
        </w:smartTagPr>
        <w:r w:rsidRPr="008769A4">
          <w:t>2005 г</w:t>
        </w:r>
      </w:smartTag>
      <w:r w:rsidRPr="008769A4">
        <w:t>. Вып. № 2.</w:t>
      </w:r>
    </w:p>
    <w:p w:rsidR="004A3D8E" w:rsidRDefault="004A3D8E" w:rsidP="004A3D8E">
      <w:pPr>
        <w:spacing w:before="120"/>
        <w:ind w:firstLine="567"/>
        <w:jc w:val="both"/>
      </w:pPr>
      <w:r w:rsidRPr="008769A4">
        <w:t>17.</w:t>
      </w:r>
      <w:r>
        <w:t xml:space="preserve"> </w:t>
      </w:r>
      <w:r w:rsidRPr="008769A4">
        <w:t>Яременко Ю.В. Экономические беседы. Запись С.А. Белановского. М.: Центр исследований и статистики науки. 1999.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D8E"/>
    <w:rsid w:val="001A35F6"/>
    <w:rsid w:val="003E3BE6"/>
    <w:rsid w:val="004A3D8E"/>
    <w:rsid w:val="005C544B"/>
    <w:rsid w:val="0062509E"/>
    <w:rsid w:val="00811DD4"/>
    <w:rsid w:val="008769A4"/>
    <w:rsid w:val="00C1142B"/>
    <w:rsid w:val="00D73B4A"/>
    <w:rsid w:val="00EA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743F531-A87C-40F0-869C-DE10E0E5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D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3D8E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и моделирование экономико - технологической реальности региона </vt:lpstr>
    </vt:vector>
  </TitlesOfParts>
  <Company>Home</Company>
  <LinksUpToDate>false</LinksUpToDate>
  <CharactersWithSpaces>31695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и моделирование экономико - технологической реальности региона </dc:title>
  <dc:subject/>
  <dc:creator>User</dc:creator>
  <cp:keywords/>
  <dc:description/>
  <cp:lastModifiedBy>admin</cp:lastModifiedBy>
  <cp:revision>2</cp:revision>
  <dcterms:created xsi:type="dcterms:W3CDTF">2014-03-28T14:50:00Z</dcterms:created>
  <dcterms:modified xsi:type="dcterms:W3CDTF">2014-03-28T14:50:00Z</dcterms:modified>
</cp:coreProperties>
</file>