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48" w:rsidRPr="0041225F" w:rsidRDefault="000B5348" w:rsidP="000B5348">
      <w:pPr>
        <w:spacing w:before="120"/>
        <w:jc w:val="center"/>
        <w:rPr>
          <w:b/>
          <w:bCs/>
          <w:sz w:val="32"/>
          <w:szCs w:val="32"/>
        </w:rPr>
      </w:pPr>
      <w:r w:rsidRPr="0041225F">
        <w:rPr>
          <w:b/>
          <w:bCs/>
          <w:sz w:val="32"/>
          <w:szCs w:val="32"/>
        </w:rPr>
        <w:t>Лазерные граверы: от теории к практике</w:t>
      </w:r>
    </w:p>
    <w:p w:rsidR="000B5348" w:rsidRPr="0041225F" w:rsidRDefault="000B5348" w:rsidP="000B5348">
      <w:pPr>
        <w:spacing w:before="120"/>
        <w:jc w:val="center"/>
        <w:rPr>
          <w:sz w:val="28"/>
          <w:szCs w:val="28"/>
        </w:rPr>
      </w:pPr>
      <w:r w:rsidRPr="0041225F">
        <w:rPr>
          <w:sz w:val="28"/>
          <w:szCs w:val="28"/>
        </w:rPr>
        <w:t>Александр Чистяков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Гравирование на сегодняшний день – интересная и достаточно перспективная отрасль, и основной вопрос, волнующий участников рынка, – каковы затраты на ее освоение.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В настоящий момент на российском рынке представлено почти два десятка марок лазерных граверов. Приблизительно сходные по общему устройству, они во многом различаются комплектацией и функциональными возможностями. При выборе оборудования главная задача состоит в том, чтобы максимально четко определить цели использования этого вида оборудования. Следующий момент – анализ затрат: на что нужно обратить особенное внимание при бюджетировании и чего не забыть. И в конечном итоге купленное оборудование необходимо грамотно подключить и создать максимально комфортные условия для его работы.</w:t>
      </w:r>
    </w:p>
    <w:p w:rsidR="000B5348" w:rsidRPr="00D873FF" w:rsidRDefault="000B5348" w:rsidP="000B5348">
      <w:pPr>
        <w:spacing w:before="120"/>
        <w:jc w:val="center"/>
        <w:rPr>
          <w:b/>
          <w:bCs/>
          <w:sz w:val="28"/>
          <w:szCs w:val="28"/>
        </w:rPr>
      </w:pPr>
      <w:r w:rsidRPr="00D873FF">
        <w:rPr>
          <w:b/>
          <w:bCs/>
          <w:sz w:val="28"/>
          <w:szCs w:val="28"/>
        </w:rPr>
        <w:t>Сделать выбор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Общее устройство лазерного оборудования включает пять основных систем (рис. 1): оптическую (лазерный источник и блок питания, система зеркал и фокусирующая линза); трансмиссионную (включает направляющие, трехфазовые шаговые моторы/серводвигатели/линейные двигатели, приводной вал, зубчатый ремень и зубчатые колеса); контроля (главная плата/блок ЧПУ, датчики двигателей/положения, блоков питания постоянного тока); механическую (станина и корпус); охлаждения (компрессор, вентиляция и др.).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При общих равных данных начинка машины может меняться. Как показывает практика, различия в основных системах влияют на долговечность и надежность некоторых элементов конструкции в целом. В процессе эксплуатации оборудования этот фактор немаловажен, и от того, насколько глобальный характер носят технологические изменения, настолько может различаться модельный ряд, усложняя тем самым принятие окончательного решения при выборе оборудования.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Прежде чем покупать оборудование, необходимо оценить несколько критериев: цену, надежность и мощность. Цена и надежность зависят, как правило, от марки граверов, и чем надежнее оборудование, тем они выше.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А вот на мощность граверов стоит обратить внимание в первую очередь. Она может составлять от 25 до 120 Вт, а иногда и выше. Так, при выборе необходимо рассмотреть все минусы и плюсы гравера нужной мощности. К примеру, если оборудование планируется использовать для гравировки и резки материала небольших толщин, достаточно будет приобрести гравер мощностью 35 Вт. Но нужно понимать, что резать он сможет лишь толщину 4–5 мм.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Если оборудование рассчитано на 35 Вт, то и излучатель имеет ту же мощность, так как каждой мощности соответствует свой излучатель. Существует возможность установки на оборудование трубок (излучателей), отличных от номинального показателя мощности. Если они отличаются в меньшую сторону, неизбежны потери в производительности. А установка трубки большей мощности, чем та, на которую рассчитан гравер, по оценкам специалистов, – просто пустая трата средств. И мнение, что недостаточную мощность оборудования можно компенсировать установкой трубки большей мощности, ошибочно.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Остановимся также на различиях в системах оптической и охлаждения.</w:t>
      </w:r>
    </w:p>
    <w:p w:rsidR="000B5348" w:rsidRPr="00D873FF" w:rsidRDefault="000B5348" w:rsidP="000B5348">
      <w:pPr>
        <w:spacing w:before="120"/>
        <w:jc w:val="center"/>
        <w:rPr>
          <w:b/>
          <w:bCs/>
          <w:sz w:val="28"/>
          <w:szCs w:val="28"/>
        </w:rPr>
      </w:pPr>
      <w:r w:rsidRPr="00D873FF">
        <w:rPr>
          <w:b/>
          <w:bCs/>
          <w:sz w:val="28"/>
          <w:szCs w:val="28"/>
        </w:rPr>
        <w:t>В чем фокус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Одно из принципиально важных условий использования лазерного излучения – необходимость его фокусировки в одной точке для получения более мощного излучения. Ограничения по обрабатываемой толщине материалов обусловливаются как характеристиками самого лазерного оборудования (мощность), так и фокусировкой лазерного луча. Если с мощностью все ясно (чем она выше, тем шире возможности обработки большой толщины), то о фокусировке стоит поговорить подробнее.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Фокусировка светового потока позволяет концентрировать мощность лазерного излучения. Необходимый для этого инструмент – оптическая линза, от фокального расстояния которой зависит толщина обрабатываемого материала. Линза играет роль своеобразного концентратора света. Чем больше диаметр фокуса и выше мощность лазерного излучения (эти параметры, как правило, пропорциональны), тем более значительной толщины материал можно обрабатывать.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Например, при мощности 100 Вт и 2-дюймовой линзе невозможно обработать материал толще 15 мм. Следующий элемент оптической системы – отражающие зеркала, служащие для управления положением области луча. В современной лазерной технологии существуют две их модификации: стационарная (рис. 2) и отклоняющаяся (рис. 3).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Стационарная система по производительности уступает отклоняющейся в 6,5 раза. Так, максимальная скорость гравировки в системе со стационарным расположением зеркал составляет 1066 мм/с, тогда как система с отражающими зеркалами способна обрабатывать материал со скоростью 7000 мм/с. Хотя сравнивать их без оговорок некорректно – каждая служит для своей цели.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Однако лазерные граверы с системой отклоняющихся зеркал обычно отличаются меньшими размерами рабочего стола. В случае со стационарными зеркалами рабочий стол может иметь габариты 2000Ч1600 мм, а с системой отклоняющихся зеркал – лишь 200Ч200 мм (для YAG) и 300Ч300 мм (для СО2). Некоторые производители решают эту проблему, делая стол подвижным. Таким образом, перемещаются не только зеркала, но и сам стол, размер которого может превышать зону охвата зеркал.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Отметим, что стационарная система зеркал применяется как в СО2-, так и в YAG-лазерах, а вот система отклоняющихся зеркал используется в основном на твердотельных. Применение системы отклоняющихся зеркал в СО2-лазерах происходит очень редко (один случай из ста), и только для специфических работ.</w:t>
      </w:r>
    </w:p>
    <w:p w:rsidR="000B5348" w:rsidRPr="00D873FF" w:rsidRDefault="000B5348" w:rsidP="000B5348">
      <w:pPr>
        <w:spacing w:before="120"/>
        <w:jc w:val="center"/>
        <w:rPr>
          <w:b/>
          <w:bCs/>
          <w:sz w:val="28"/>
          <w:szCs w:val="28"/>
        </w:rPr>
      </w:pPr>
      <w:r w:rsidRPr="00D873FF">
        <w:rPr>
          <w:b/>
          <w:bCs/>
          <w:sz w:val="28"/>
          <w:szCs w:val="28"/>
        </w:rPr>
        <w:t>С холодной головой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Еще одним отличием лазерно-гравировальных станков друг от друга является система охлаждения граверов, которая может быть воздушной, водяной замкнутой или водяной циклической.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Воздушное охлаждение представлено несколькими вентиляторами, параллельно включающимися в процессе эксплуатации граверов. Охлаждающим веществом служит воздух – система проста в своей конструкции и не требует дополнительного оборудования.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Водяное охлаждение замкнутого типа представляет собой водяную рубашку, проходящую по нагревающимся узлам. Система включает емкость для охлаждающей жидкости (на основе дистиллированной воды), насос для циркуляции жидкости по системе и охлаждающий радиатор (принцип автомобильной системы охлаждения). Требует периодической (не реже одного раза в месяц) смены жидкости.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Система водяного охлаждения циркулирующего типа (проточная) применяется на лазерах промышленного назначения. Она представляет собой ту же водяную рубашку, проходящую через основные агрегаты, насос для циркуляции, но вместо емкости и радиатора здесь используется контур, проходящий через центральную систему водоснабжения. После охлаждения агрегатов отработанная жидкость поступает в канализацию, а в систему постоянно поступает новая партия воды – и так по замкнутому кругу. Минусами системы являются неудобство в поиске помещений с центральным водоснабжением и дополнительные затраты при эксплуатации.</w:t>
      </w:r>
    </w:p>
    <w:p w:rsidR="000B5348" w:rsidRPr="00D873FF" w:rsidRDefault="000B5348" w:rsidP="000B5348">
      <w:pPr>
        <w:spacing w:before="120"/>
        <w:jc w:val="center"/>
        <w:rPr>
          <w:b/>
          <w:bCs/>
          <w:sz w:val="28"/>
          <w:szCs w:val="28"/>
        </w:rPr>
      </w:pPr>
      <w:r w:rsidRPr="00D873FF">
        <w:rPr>
          <w:b/>
          <w:bCs/>
          <w:sz w:val="28"/>
          <w:szCs w:val="28"/>
        </w:rPr>
        <w:t>Оценим уровень вложений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Разобравшись с основными функциональными отличиями, перейдем к оценке суммарных вложений, требующихся при открытии данного направления. Причем необходимо учитывать не только цену самого станка, но и работ по его обслуживанию, а также стоимость расходных материалов.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Предлагаемые на рынке лазерные граверы во многом различаются по комплектации и функциональным возможностям. Комплектация лазерного гравера зависит от целей его использования, специфики производимых на нем работ, и часто стандартный набор комплектующих приходится дополнять. Так, например, для гравировки и резки средних и толстых материалов можно обойтись столом, включенным в стандартную комплектацию. Однако для обработки таких материалов, как бумага и ткань, необходим ячеистый стол – стандартный для этих целей не подходит. Но на ячеистом столе из-за нагревания ячеек в процессе производства невозможно резать толстый материал (от 3 мм).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Что касается вытяжных систем, то в стандартную комплектацию входит самая простая – «улитка», которая обеспечивает вытяжку продуктов испарения из рабочей зоны лазера, вынося их на улицу.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Более дорогостоящий вариант – угольная вытяжная система, поглощающая все продукты горения и исключающая появление запаха в помещении даже при отсутствии вытяжки.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Компрессор предназначен для предотвращения загрязнения и перегрева линзы (не дает дыму и копоти осесть на ней) и возгорания материала. Также он улучшает качество гравировки и резки при некоторых режимах работы.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Гравировка материалов цилиндрической формы (кружки, бутылки) подразумевает использование приспособления для их вращения.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Система автофокусировки самостоятельно устанавливает лазерную голову в положение, при котором маркируемая поверхность изделия находится в фокальной плоскости. Можно обойтись и без нее, если такая функция имеется в программном обеспечении. По поводу элементов, зачисленных в разряд расходных материалов, необходимо отметить, что линзы и зеркала со временем заменяют, поскольку они мутнеют. Лазерные источники также нередко относят к расходным материалам (рис. 4 на с. 16), поскольку срок их эксплуатации всегда ограничен. Если же говорить о продолжительности срока службы этих изделий, то она сильно разнится в зависимости от материала. Так, стеклянные трубки уступают по долговечности металлическим в среднем в пять раз (табл. 5 на с. 20). Стеклянные лазерные трубки не имеют ВЧ накачки и поэтому они не могут дать высокого качества гравировки, к тому же их срок жизни определен заранее, т.к. один из компонентов газовой смеси – гелий, а его в стекле удержать просто невозможно. Если сравнить срок жизни стеклянных трубок на двух одинаковых станках, один из которых был постоянно загружен, а другой практически не использовался, то можно заметить, что излучатель на них выйдет из строя приблизительно одновременно, примерно через 6 месяцев. У трубок с металлической колбой срок жизни зависит только от режимов и непосредственного времени работы станка. Если резать большое количество материалов, то трубка проработает в среднем 1,5–2 года, а если использовать только метод гравировки, срок жизни увеличивается до 5–6 лет. Что касается работ по заправке трубок, то стеклянные обычно не заправляют, а просто меняют на новые, металлические же гораздо выгоднее заправлять. В то же время европейские и американские стеклянные лазерные источники рассчитаны на перезаправку.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Сопло для резки в процессе работы забивается нагаром, и его чистят или меняют по мере необходимости.</w:t>
      </w:r>
    </w:p>
    <w:p w:rsidR="000B5348" w:rsidRPr="00D873FF" w:rsidRDefault="000B5348" w:rsidP="000B5348">
      <w:pPr>
        <w:spacing w:before="120"/>
        <w:jc w:val="center"/>
        <w:rPr>
          <w:b/>
          <w:bCs/>
          <w:sz w:val="28"/>
          <w:szCs w:val="28"/>
        </w:rPr>
      </w:pPr>
      <w:r w:rsidRPr="00D873FF">
        <w:rPr>
          <w:b/>
          <w:bCs/>
          <w:sz w:val="28"/>
          <w:szCs w:val="28"/>
        </w:rPr>
        <w:t>Жизнь после покупки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Приобретение нового оборудования всегда сопряжено с рядом эмоциональных моментов. Его долго выбирают, долго покупают, и вот когда, наконец, оно появляется в офисе компании, с ним нужно что-то делать. Главное здесь – не навредить. Если говорить об установке оборудования, то для корректного его подключения требуется следовать рекомендациям производителя и поставщика по установке граверов. Последние, во избежание проблем при инсталляции, рекомендуют осуществлять установку лазеров в присутствии опытного профессионального инженера, сертифицированного заводом-изготовителем, поскольку этот процесс имеет некоторые нюансы, которые в инструкции могут быть не прописаны. Например, следует обращать внимание на то, что после подключения к электропитанию нужно провести пробный запуск, и только после этого приступать к юстировке системы отражения зеркал. Далее подключить к управляющему компьютеру, установить программное обеспечение и снова сделать несколько пробных образцов на разных видах материалов.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Не стоит забывать, что лазерные граверы – современные высокотехнологичные устройства, весьма опасные для жизни человека. При работе с ними необходимо соблюдать технику безопасности. Чтобы предупредить получение травм, достаточно соблюдения простых правил: перед работой убедиться, что лазерный луч находится в отключенном состоянии (отследить это можно визуально на дисплее системы управления), и проверить, нет ли в рабочей зоне «отражения лазерного луча» посторонних предметов, а при обнаружении – убрать их; для сохранения здоровья следует включать систему вытяжки для удаления продуктов испарения из рабочей зоны; для лучшей функциональности системы вытяжки рекомендуется закрывать ее защитным экраном – передней крышкой (рис. 1а на с. 13); для предотвращения загрязнений фокусирующей линзы перед началом работы необходимо убедиться, что система выдува копоти из носика функционирует исправно. Во время эксплуатации оборудования нужно следить за состоянием лазерной трубки, зеркал и линз и вовремя очищать эти элементы от пыли и копоти. В противном случае линза может лопнуть, а зеркало – помутнеть, вызвав необходимость его замены на новое. Луч лазера существенно потеряет свою мощность и уже не сможет резать толстые материалы.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Следуя этим нехитрым правилам, можно значительно снизить время, энерго- и финансовые затраты в процессе введения нового направления бизнеса в структуру предоставляемых услуг рекламно-производственной компании.</w:t>
      </w:r>
    </w:p>
    <w:p w:rsidR="000B5348" w:rsidRPr="00D873FF" w:rsidRDefault="000B5348" w:rsidP="000B5348">
      <w:pPr>
        <w:spacing w:before="120"/>
        <w:jc w:val="center"/>
        <w:rPr>
          <w:b/>
          <w:bCs/>
          <w:sz w:val="28"/>
          <w:szCs w:val="28"/>
        </w:rPr>
      </w:pPr>
      <w:r w:rsidRPr="00D873FF">
        <w:rPr>
          <w:b/>
          <w:bCs/>
          <w:sz w:val="28"/>
          <w:szCs w:val="28"/>
        </w:rPr>
        <w:t>Испаряя лишнее</w:t>
      </w:r>
    </w:p>
    <w:p w:rsidR="000B5348" w:rsidRDefault="000B5348" w:rsidP="000B5348">
      <w:pPr>
        <w:spacing w:before="120"/>
        <w:ind w:firstLine="567"/>
        <w:jc w:val="both"/>
      </w:pPr>
      <w:r w:rsidRPr="009D3E57">
        <w:t>Технология лазерной гравировки основана на удалении поверхностных слоев либо изменении их цвета или структуры в результате лазерного излучения. В месте воздействия луча на поверхность изделия происходит испарение небольшой части материала. Благодаря высокой точности лазерного гравирования можно наносить достаточно сложные изображения.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Управление – обычным компьютером с возможностью импорта изображений из стандартных редакторов векторной графики. Тип нанесения – векторное и растровое. При векторном луч лазера наносит изображения в виде тонких линий по всей плоскости поверхности. В зависимости от плотности расположения линий качество гравировки может меняться, но с его повышением одновременно увеличивается и время, затрачиваемое на операцию. Растровое гравирование – процесс, при котором луч лазера наносит отдельные линии или точки.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Таблица 1. Периодичность выполнения работ</w:t>
      </w:r>
      <w:r>
        <w:t xml:space="preserve"> </w:t>
      </w:r>
      <w:r w:rsidRPr="009D3E57">
        <w:t>по обслуживанию граверов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Перечень выполняемых работ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Периодичность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Обновление газа в СО2-лазерах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По мере необходимости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Юстировка системы отражения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По мере необходимости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Смена воды в системе охлаждения лазерной трубки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По рекомендации производителя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Обновление лазерного источника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По рекомендации производителя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>Очистка фокусирующей линзы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 Ежедневно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Очистка специальным раствором зеркал системы отражения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Раз в два дня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Очистка от пыли и смазка основных узлов движения (направляющие)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Раз в неделю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Обновление зеркал системы отражения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Раз в полтора месяца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Очистка системы вытяжки продуктов горения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Раз в два месяца</w:t>
            </w:r>
          </w:p>
        </w:tc>
      </w:tr>
    </w:tbl>
    <w:p w:rsidR="000B5348" w:rsidRPr="009D3E57" w:rsidRDefault="000B5348" w:rsidP="000B5348">
      <w:pPr>
        <w:spacing w:before="120"/>
        <w:ind w:firstLine="567"/>
        <w:jc w:val="both"/>
      </w:pPr>
      <w:r w:rsidRPr="009D3E57">
        <w:t>Примечание. Информация взята из открытых источников.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Таблица 2. Расходные материалы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Расходные материалы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Стоимость, руб.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>Линзы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 10 000–17 500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Активный элемент (лазерная трубка) стеклянная/металлическая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От 5000/45000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Обновление газа для СО2-лазеров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5000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Сопло для резки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2000–3000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Зеркала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От 28 000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Набор для протирки оптики (салфетки, жидкость, груша)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От 390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Салфетки для протирки оптики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130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Техническая смазка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650</w:t>
            </w:r>
          </w:p>
        </w:tc>
      </w:tr>
    </w:tbl>
    <w:p w:rsidR="000B5348" w:rsidRPr="009D3E57" w:rsidRDefault="000B5348" w:rsidP="000B5348">
      <w:pPr>
        <w:spacing w:before="120"/>
        <w:ind w:firstLine="567"/>
        <w:jc w:val="both"/>
      </w:pPr>
      <w:r w:rsidRPr="009D3E57">
        <w:t>Примечание. Информация взята из открытых источников. Указан примерный порядок цен на май 2007 г. Данные могут меняться и требуют уточнения у поставщиков.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Таблица 3. Перечень поставщиков и производителей</w:t>
      </w:r>
      <w:r>
        <w:t xml:space="preserve"> </w:t>
      </w:r>
      <w:r w:rsidRPr="009D3E57">
        <w:t>лазерных граверов с ценами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2463"/>
        <w:gridCol w:w="2463"/>
        <w:gridCol w:w="2464"/>
        <w:gridCol w:w="2464"/>
      </w:tblGrid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>Страна- производитель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Марка граверов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Тип лазеров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Стоимость, тыс. руб.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Epilog (США)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Epilog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YAG СО2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390 –1323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pPr>
              <w:rPr>
                <w:lang w:val="en-US"/>
              </w:rPr>
            </w:pPr>
            <w:r w:rsidRPr="009D3E57">
              <w:rPr>
                <w:lang w:val="en-US"/>
              </w:rPr>
              <w:t>GCC Great Computing Corporation (</w:t>
            </w:r>
            <w:r w:rsidRPr="009D3E57">
              <w:t>Тайвань</w:t>
            </w:r>
            <w:r w:rsidRPr="009D3E57">
              <w:rPr>
                <w:lang w:val="en-US"/>
              </w:rPr>
              <w:t>)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LazerPro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СО2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234 –2594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GJ-L (Китай)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GJ-L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СО2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52 –190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>GPLM (Россия)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GPLM, ЛЮР.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YAG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От 1100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GRAPHEQ (Китай)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SL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YAG СО2 9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0 –1740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>LDesigner (Россия)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LDesigner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YAG СО2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От 1000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>Lazer Line (Китай)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Lazer Line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СО2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300 –440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pPr>
              <w:rPr>
                <w:lang w:val="en-US"/>
              </w:rPr>
            </w:pPr>
            <w:r w:rsidRPr="009D3E57">
              <w:rPr>
                <w:lang w:val="en-US"/>
              </w:rPr>
              <w:t>Laser Tools &amp; Technics Corp (</w:t>
            </w:r>
            <w:r w:rsidRPr="009D3E57">
              <w:t>Тайвань</w:t>
            </w:r>
            <w:r w:rsidRPr="009D3E57">
              <w:rPr>
                <w:lang w:val="en-US"/>
              </w:rPr>
              <w:t xml:space="preserve">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ILS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СО2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298 –1194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Multicam (США)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Multicam</w:t>
            </w:r>
            <w:r>
              <w:t xml:space="preserve"> </w:t>
            </w:r>
            <w:r w:rsidRPr="009D3E57">
              <w:t>СО2</w:t>
            </w:r>
            <w:r>
              <w:t xml:space="preserve"> </w:t>
            </w:r>
            <w:r w:rsidRPr="009D3E57">
              <w:t>2854</w:t>
            </w:r>
          </w:p>
        </w:tc>
        <w:tc>
          <w:tcPr>
            <w:tcW w:w="1250" w:type="pct"/>
          </w:tcPr>
          <w:p w:rsidR="000B5348" w:rsidRPr="009D3E57" w:rsidRDefault="000B5348" w:rsidP="00C06F95"/>
        </w:tc>
        <w:tc>
          <w:tcPr>
            <w:tcW w:w="1250" w:type="pct"/>
          </w:tcPr>
          <w:p w:rsidR="000B5348" w:rsidRPr="009D3E57" w:rsidRDefault="000B5348" w:rsidP="00C06F95"/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>Mecanumeric (Франция)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Lazec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СО2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2082 –5190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pPr>
              <w:rPr>
                <w:lang w:val="en-US"/>
              </w:rPr>
            </w:pPr>
            <w:r w:rsidRPr="009D3E57">
              <w:rPr>
                <w:lang w:val="en-US"/>
              </w:rPr>
              <w:t>SEI The Systems of Electronic and Information (</w:t>
            </w:r>
            <w:r w:rsidRPr="009D3E57">
              <w:t>Италия</w:t>
            </w:r>
            <w:r w:rsidRPr="009D3E57">
              <w:rPr>
                <w:lang w:val="en-US"/>
              </w:rPr>
              <w:t>)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Personal, Giotto, Spooky Plus.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СО2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397 –4172,4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>Sunlight (Китай)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SA, YM, SL,YAG.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СО2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182 –415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Trotec (Австрия)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Speedy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СО2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678 –4485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TST (Китай)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TST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СО2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51,9 –490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Universal LaserSystems (США)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Versalaser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СО2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200 –589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МЛ2 (Россия)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МЛ2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YAG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1100 –1300</w:t>
            </w:r>
          </w:p>
        </w:tc>
      </w:tr>
      <w:tr w:rsidR="000B5348" w:rsidRPr="009D3E57" w:rsidTr="00C06F95"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Л-1 (Россия) 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>Л-1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СО2</w:t>
            </w:r>
          </w:p>
        </w:tc>
        <w:tc>
          <w:tcPr>
            <w:tcW w:w="1250" w:type="pct"/>
          </w:tcPr>
          <w:p w:rsidR="000B5348" w:rsidRPr="009D3E57" w:rsidRDefault="000B5348" w:rsidP="00C06F95">
            <w:r w:rsidRPr="009D3E57">
              <w:t xml:space="preserve"> От 200</w:t>
            </w:r>
          </w:p>
        </w:tc>
      </w:tr>
    </w:tbl>
    <w:p w:rsidR="000B5348" w:rsidRPr="009D3E57" w:rsidRDefault="000B5348" w:rsidP="000B5348">
      <w:pPr>
        <w:spacing w:before="120"/>
        <w:ind w:firstLine="567"/>
        <w:jc w:val="both"/>
      </w:pPr>
      <w:r w:rsidRPr="009D3E57">
        <w:t>Примечание. Информация взята из открытых источников. Указан примерный</w:t>
      </w:r>
      <w:r>
        <w:t xml:space="preserve"> </w:t>
      </w:r>
      <w:r w:rsidRPr="009D3E57">
        <w:t>порядок цен на май 2007 г. Данные могут меняться и требуют уточнения у</w:t>
      </w:r>
      <w:r>
        <w:t xml:space="preserve"> </w:t>
      </w:r>
      <w:r w:rsidRPr="009D3E57">
        <w:t>поставщиков.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Таблица 4. Затраты на дополнительное оборудование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Наименование оборудования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Стоимость, тыс. руб.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Ячеистый стол для резки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14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Компрессор для системы поддува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21 –42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Вытяжные системы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59 –400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Приспособление для вращения цилиндрических и конических изделий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42 –57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Система автофокусировки с сенсорами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17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>Оперативная память на 64 Mb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 3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Коллиматор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65 –78</w:t>
            </w:r>
          </w:p>
        </w:tc>
      </w:tr>
      <w:tr w:rsidR="000B5348" w:rsidRPr="009D3E57" w:rsidTr="00C06F95">
        <w:tc>
          <w:tcPr>
            <w:tcW w:w="2500" w:type="pct"/>
          </w:tcPr>
          <w:p w:rsidR="000B5348" w:rsidRPr="009D3E57" w:rsidRDefault="000B5348" w:rsidP="00C06F95">
            <w:r w:rsidRPr="009D3E57">
              <w:t xml:space="preserve">Очки для защиты от лазерного излучения </w:t>
            </w:r>
          </w:p>
        </w:tc>
        <w:tc>
          <w:tcPr>
            <w:tcW w:w="2500" w:type="pct"/>
          </w:tcPr>
          <w:p w:rsidR="000B5348" w:rsidRPr="009D3E57" w:rsidRDefault="000B5348" w:rsidP="00C06F95">
            <w:r w:rsidRPr="009D3E57">
              <w:t>0,4</w:t>
            </w:r>
          </w:p>
        </w:tc>
      </w:tr>
    </w:tbl>
    <w:p w:rsidR="000B5348" w:rsidRPr="009D3E57" w:rsidRDefault="000B5348" w:rsidP="000B5348">
      <w:pPr>
        <w:spacing w:before="120"/>
        <w:ind w:firstLine="567"/>
        <w:jc w:val="both"/>
      </w:pPr>
      <w:r w:rsidRPr="009D3E57">
        <w:t>Примечание. Информация взята из открытых источников. Указан примерный порядок цен на май 2007 г.</w:t>
      </w:r>
    </w:p>
    <w:p w:rsidR="000B5348" w:rsidRPr="009D3E57" w:rsidRDefault="000B5348" w:rsidP="000B5348">
      <w:pPr>
        <w:spacing w:before="120"/>
        <w:ind w:firstLine="567"/>
        <w:jc w:val="both"/>
      </w:pPr>
      <w:r w:rsidRPr="009D3E57">
        <w:t>Таблица 5. Сравнительные характеристики лазерных трубок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0B5348" w:rsidRPr="009D3E57" w:rsidTr="00C06F95">
        <w:tc>
          <w:tcPr>
            <w:tcW w:w="1666" w:type="pct"/>
          </w:tcPr>
          <w:p w:rsidR="000B5348" w:rsidRPr="009D3E57" w:rsidRDefault="000B5348" w:rsidP="00C06F95">
            <w:r w:rsidRPr="009D3E57">
              <w:t xml:space="preserve"> 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>Стеклянные трубки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>Металлические трубки</w:t>
            </w:r>
          </w:p>
        </w:tc>
      </w:tr>
      <w:tr w:rsidR="000B5348" w:rsidRPr="009D3E57" w:rsidTr="00C06F95">
        <w:tc>
          <w:tcPr>
            <w:tcW w:w="1666" w:type="pct"/>
          </w:tcPr>
          <w:p w:rsidR="000B5348" w:rsidRPr="009D3E57" w:rsidRDefault="000B5348" w:rsidP="00C06F95">
            <w:r w:rsidRPr="009D3E57">
              <w:t xml:space="preserve">Ресурс работы лазера, тыс. ч. 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 xml:space="preserve">3–4 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>15–50</w:t>
            </w:r>
          </w:p>
        </w:tc>
      </w:tr>
      <w:tr w:rsidR="000B5348" w:rsidRPr="009D3E57" w:rsidTr="00C06F95">
        <w:tc>
          <w:tcPr>
            <w:tcW w:w="1666" w:type="pct"/>
          </w:tcPr>
          <w:p w:rsidR="000B5348" w:rsidRPr="009D3E57" w:rsidRDefault="000B5348" w:rsidP="00C06F95">
            <w:r w:rsidRPr="009D3E57">
              <w:t xml:space="preserve">Система охлаждения 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 xml:space="preserve">Жидкостная 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>Жидкостная/воздушная</w:t>
            </w:r>
          </w:p>
        </w:tc>
      </w:tr>
      <w:tr w:rsidR="000B5348" w:rsidRPr="009D3E57" w:rsidTr="00C06F95">
        <w:tc>
          <w:tcPr>
            <w:tcW w:w="1666" w:type="pct"/>
          </w:tcPr>
          <w:p w:rsidR="000B5348" w:rsidRPr="009D3E57" w:rsidRDefault="000B5348" w:rsidP="00C06F95">
            <w:r w:rsidRPr="009D3E57">
              <w:t>Стабильность излучения при работе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 xml:space="preserve">Хорошая 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>Очень высокая</w:t>
            </w:r>
          </w:p>
        </w:tc>
      </w:tr>
      <w:tr w:rsidR="000B5348" w:rsidRPr="009D3E57" w:rsidTr="00C06F95">
        <w:tc>
          <w:tcPr>
            <w:tcW w:w="1666" w:type="pct"/>
          </w:tcPr>
          <w:p w:rsidR="000B5348" w:rsidRPr="009D3E57" w:rsidRDefault="000B5348" w:rsidP="00C06F95">
            <w:r w:rsidRPr="009D3E57">
              <w:t xml:space="preserve">Средняя мощность, Вт 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 xml:space="preserve">До 100 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>До 600</w:t>
            </w:r>
          </w:p>
        </w:tc>
      </w:tr>
      <w:tr w:rsidR="000B5348" w:rsidRPr="009D3E57" w:rsidTr="00C06F95">
        <w:tc>
          <w:tcPr>
            <w:tcW w:w="1666" w:type="pct"/>
          </w:tcPr>
          <w:p w:rsidR="000B5348" w:rsidRPr="009D3E57" w:rsidRDefault="000B5348" w:rsidP="00C06F95">
            <w:r w:rsidRPr="009D3E57">
              <w:t>Стоимость лазерной трубки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>Низкая</w:t>
            </w:r>
          </w:p>
        </w:tc>
        <w:tc>
          <w:tcPr>
            <w:tcW w:w="1667" w:type="pct"/>
          </w:tcPr>
          <w:p w:rsidR="000B5348" w:rsidRPr="009D3E57" w:rsidRDefault="000B5348" w:rsidP="00C06F95">
            <w:r w:rsidRPr="009D3E57">
              <w:t xml:space="preserve"> Высокая (в 200–300 раз дороже стеклянных)</w:t>
            </w:r>
          </w:p>
        </w:tc>
      </w:tr>
    </w:tbl>
    <w:p w:rsidR="000B5348" w:rsidRDefault="000B5348" w:rsidP="000B5348">
      <w:pPr>
        <w:spacing w:before="120"/>
        <w:ind w:firstLine="567"/>
        <w:jc w:val="both"/>
      </w:pPr>
      <w:r w:rsidRPr="009D3E57">
        <w:t>Примечание. Данные предоставлены компанией «САН</w:t>
      </w:r>
    </w:p>
    <w:p w:rsidR="000B5348" w:rsidRPr="00D873FF" w:rsidRDefault="000B5348" w:rsidP="000B5348">
      <w:pPr>
        <w:spacing w:before="120"/>
        <w:jc w:val="center"/>
        <w:rPr>
          <w:b/>
          <w:bCs/>
          <w:sz w:val="28"/>
          <w:szCs w:val="28"/>
        </w:rPr>
      </w:pPr>
      <w:r w:rsidRPr="00D873FF">
        <w:rPr>
          <w:b/>
          <w:bCs/>
          <w:sz w:val="28"/>
          <w:szCs w:val="28"/>
        </w:rPr>
        <w:t>Список литературы</w:t>
      </w:r>
    </w:p>
    <w:p w:rsidR="000B5348" w:rsidRPr="003A0E63" w:rsidRDefault="000B5348" w:rsidP="000B5348">
      <w:pPr>
        <w:spacing w:before="120"/>
        <w:ind w:firstLine="567"/>
        <w:jc w:val="both"/>
      </w:pPr>
      <w:r w:rsidRPr="009D3E57">
        <w:t>Вывески № 7 (85), ИЮЛЬ, 2007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348"/>
    <w:rsid w:val="00051FB8"/>
    <w:rsid w:val="00095BA6"/>
    <w:rsid w:val="000B5348"/>
    <w:rsid w:val="00137FDE"/>
    <w:rsid w:val="00210DB3"/>
    <w:rsid w:val="0031418A"/>
    <w:rsid w:val="00350B15"/>
    <w:rsid w:val="00377A3D"/>
    <w:rsid w:val="003A0E63"/>
    <w:rsid w:val="0041225F"/>
    <w:rsid w:val="0052086C"/>
    <w:rsid w:val="00595B8E"/>
    <w:rsid w:val="005A2562"/>
    <w:rsid w:val="00755964"/>
    <w:rsid w:val="008C19D7"/>
    <w:rsid w:val="009D3E57"/>
    <w:rsid w:val="00A44D32"/>
    <w:rsid w:val="00C06F95"/>
    <w:rsid w:val="00D873F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E011E7-2EFD-4AC0-8317-5D45AF92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534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2522</Words>
  <Characters>14379</Characters>
  <Application>Microsoft Office Word</Application>
  <DocSecurity>0</DocSecurity>
  <Lines>119</Lines>
  <Paragraphs>33</Paragraphs>
  <ScaleCrop>false</ScaleCrop>
  <Company>Home</Company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Лазерные граверы: от теории к практике</dc:title>
  <dc:subject/>
  <dc:creator>Alena</dc:creator>
  <cp:keywords/>
  <dc:description/>
  <cp:lastModifiedBy>admin</cp:lastModifiedBy>
  <cp:revision>2</cp:revision>
  <dcterms:created xsi:type="dcterms:W3CDTF">2014-02-19T10:15:00Z</dcterms:created>
  <dcterms:modified xsi:type="dcterms:W3CDTF">2014-02-19T10:15:00Z</dcterms:modified>
</cp:coreProperties>
</file>