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64" w:rsidRPr="00647393" w:rsidRDefault="004D2164" w:rsidP="004D2164">
      <w:pPr>
        <w:spacing w:before="120"/>
        <w:jc w:val="center"/>
        <w:rPr>
          <w:b/>
          <w:bCs/>
          <w:sz w:val="32"/>
          <w:szCs w:val="32"/>
        </w:rPr>
      </w:pPr>
      <w:r w:rsidRPr="00647393">
        <w:rPr>
          <w:b/>
          <w:bCs/>
          <w:sz w:val="32"/>
          <w:szCs w:val="32"/>
        </w:rPr>
        <w:t>Маркетинг в венчурном проекте</w:t>
      </w:r>
    </w:p>
    <w:p w:rsidR="004D2164" w:rsidRPr="00647393" w:rsidRDefault="004D2164" w:rsidP="004D2164">
      <w:pPr>
        <w:spacing w:before="120"/>
        <w:jc w:val="center"/>
        <w:rPr>
          <w:sz w:val="28"/>
          <w:szCs w:val="28"/>
        </w:rPr>
      </w:pPr>
      <w:r w:rsidRPr="00647393">
        <w:rPr>
          <w:sz w:val="28"/>
          <w:szCs w:val="28"/>
        </w:rPr>
        <w:t>Олег Манчулянцев,  Президент компании «РеспубликаИдей.ру»</w:t>
      </w:r>
    </w:p>
    <w:p w:rsidR="004D2164" w:rsidRPr="00647393" w:rsidRDefault="004D2164" w:rsidP="004D2164">
      <w:pPr>
        <w:spacing w:before="120"/>
        <w:jc w:val="center"/>
        <w:rPr>
          <w:b/>
          <w:bCs/>
          <w:sz w:val="28"/>
          <w:szCs w:val="28"/>
        </w:rPr>
      </w:pPr>
      <w:r w:rsidRPr="00647393">
        <w:rPr>
          <w:b/>
          <w:bCs/>
          <w:sz w:val="28"/>
          <w:szCs w:val="28"/>
        </w:rPr>
        <w:t>Отличие маркетинга в венчурных проектах от традиционных маркетинговых исследований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В рамках маркетингового исследования для инновационного проекта нужно ответить на простые вопросы: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Во что вкладывают средства инвесторы?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Кто купит проект?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Все, казалось бы, совершенно так же, как в случае традиционных маркетинговых исследований (О них читайте в статьях «Когда и зачем проводить маркетинговые исследования», «Как определить размер рынка» и «Кому поручить маркетинговые исследования»). Однако при исследовании традиционных рынков (скажем, газированных напитков) всегда учитываются данные о конкурентах (аналогах), о клиентах, и понятно, что с чем сравнивать. А при инновационных проектах часто нужно изучать еще несуществующий рынок еще несуществующего товара и при этом не подменить реальный рынок желаемым, огульно записав в клиенты всех потенциальных покупателей. Вероятность ошибок в таких случаях возрастает.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Приведу пример из практики. Традиционные электрохимические методы золочения позволяют наносить слои толщиной 20–30 мкм, а, применяя специальные методы, можно достичь толщины слоя в 1–2 мкм. Значительная толщина покрытия нужна для обеспечения требований по контактному сопротивлению, электропроводности, неокисляемости и т. д., потому что перечисленные методы дают пористую структуру покрытия — такова особенность технологии.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Российскими учеными была разработана технология золочения, обеспечивающая толщину всего в одну молекулу (0,02–0,08 мкм) и структуру без пор. В результате расходуется в сотни раз меньше драгоценного металла при сохранении служебных свойств контактов в технических изделиях и эстетических качеств изделий художественного назначения. Новая технология позволяет золотить бытовые изделия: ранее нанесение на них золотых покрытий было экономически неоправданно, теперь же золочение может резко повысить потребительскую привлекательность изделий при незначительном повышении цены.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Имея такую замечательную технологию, невольно поддаешься соблазну организовать собственное производство и предложить людям золотить все что ни пожелают: часы, ручки, эмблемы для автомобилей, статуи, подарки шефу на день рождения — ведь теперь превратить вещь в золото можно за пять копеек! Но преимущество технологии только в расходе золота, а не в том, что золото становится привлекательнее само по себе. Таким образом, значение обретает борьба с уже существующими игроками. А у них свои козыри — налаженная инфраструктура, постоянные клиенты, обученный персонал, опыт, в конце концов.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Гораздо разумнее начать продавать «снижение затрат» на золочение тем, кто уже работает в этом бизнесе, — и пусть они друг с другом конкурируют. Тогда новый бизнес вместо конкурентов получит множество клиентов. И только после того, как будет отработан этот сегмент, можно предлагать золочение изделия там, где раньше оно не применялось из-за высокой стоимости технологии (см. также пример из моей практики: Дешевый, но ненужный). </w:t>
      </w:r>
    </w:p>
    <w:p w:rsidR="004D2164" w:rsidRPr="00647393" w:rsidRDefault="004D2164" w:rsidP="004D2164">
      <w:pPr>
        <w:spacing w:before="120"/>
        <w:jc w:val="center"/>
        <w:rPr>
          <w:b/>
          <w:bCs/>
          <w:sz w:val="28"/>
          <w:szCs w:val="28"/>
        </w:rPr>
      </w:pPr>
      <w:r w:rsidRPr="00647393">
        <w:rPr>
          <w:b/>
          <w:bCs/>
          <w:sz w:val="28"/>
          <w:szCs w:val="28"/>
        </w:rPr>
        <w:t>Схема проведения маркетингового исследования для инноваций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При маркетинге инноваций можно обратиться за помощью к нескольким категориям специалистов.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Эксперты. Самый простой способ — залезть в Интернет. Люди часто уже знают ответы на Ваши вопросы. Однако вряд ли Вы найдете там решения, которые не нужно перепроверять, поэтому советую сразу искать профессионалов, с которыми можно пообщаться напрямую. Те, кто согласится встретиться, будут готовы отвечать за свои слова. После обсуждения с ними можно выдвигать гипотезы, начинать их проверять в общении с предполагаемыми потребителями, а также потенциальными партнерами и конкурентами.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Консалтинговые компании. Консультанты смогут указать Вам путь, вернее, выведут на перекресток. А выбирать дорогу и принимать ответственность за решение придется Вам. Важно понимать, что консультанты не смогут дать исчерпывающие ответы на все вопросы. И причина не в их некомпетентности: если проект действительно венчурный, то все в нем новое — неизвестны потребители, конкуренты, не очевидна реакция потребителей на рекламу, еще не сформировались предпочтения и уровень цен. Дополнительное достоинство консультантов — взгляд со стороны. Их критические замечания могут послужить корректирующими рекомендациями по кругу партнеров и форме сотрудничества, по основным рынкам сбыта и концепции позиционирования, по ценовой политике и, наконец, по самой бизнес-модели.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>Дешевый, но ненужный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В 2005 году мы занимались проектом, связанным с определением концентрации биологически активных веществ в жидкостях. Новый проект предполагал создание производства и сбытовой структуры биодатчиков (на основе жидкокристаллической фазы ДНК), использующих принципиально новую биосенсорную технологию для определения наличия и концентрации биологически активных соединений.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Бизнес-план опирался на расчеты авторитетной американской консалтинговой компании, которая прочила технологии светлое будущее. По данным Theta Reports, в период с 1997 по 2000 год наблюдался медленный рост рынка биосенсоров. После 2000 года произошел резкий рост рынка до уровня в 2 млрд долл. США с последующим экспоненциальным ростом до 2005 года и далее. В 2005 году продажи устройств, основанных на биосенсорных технологиях, ожидались на уровне 8,8 млрд долл. США. К 2010-му объем рынка оценивался в 45 млрд, из них 95% — клиническая диагностика.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Разработанная технология была на голову выше конкурентных предложений с точки зрения экономических параметров: стоимость традиционных систем для иммуноферментного анализа и масс-спектрометров исчисляется сотнями тысяч долларов против 27 тыс. долл. США — стоимости созданного нами аппарата. Кроме того, традиционные системы требуют специально обученного персонала и каждое измерение на них стоит дороже нашего в разы.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Мы привезли свои аппараты на демонстрацию в США и выяснили, что конкурентные системы для потребителей предпочтительнее, потому что они уже установлены и измерения на них уже оплачены страховыми компаниями, которые в конечном счете платят за лечение. И в ближайшее время менять их никто не собирается.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Из практического опыта автора статьи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>Говорит Генеральный Директор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>Юрий Черчес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Директор Международного фонда технологий и инвестиций (IFTI), Москва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У инновационного проекта — два пути развития. Внутри крупной компании, производящей технологичную продукцию, проект, как правило, включается в запланированную программу развития. Он рассчитан на конкретный рынок и заказчиков, предусмотрены профессиональный маркетинг и грамотное продвижение проекта. В отличие от бизнес-продукта инновационная разработка научного учреждения — не ответ на рыночную потребность, а плод естественного развития науки. И это качественно иной процесс.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На первый взгляд, создавать инновации под заказ рынка разумнее, такой проект можно спрогнозировать. Но известно, что даже крупная компания-производитель не в состоянии выйти на качественно новую ступень технологического развития без взаимодействия с научными структурами. В России ситуация такова: каждый научный центр имеет контракты на научные разработки с российскими и зарубежными высокотехнологичными компаниями, и до недавнего времени это был единственный способ взаимодействия бизнеса и науки в России.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Малые инновационные предприятия (МИП) — это новая для России форма привлечения ученых к участию в инновационном процессе. Структура малого инновационного предприятия специально предназначена для запуска инновационных проектов. Она позволяет реализовать предпринимательские механизмы, обеспечивающие стратегическую гибкость в ходе коммерциализации научной разработки на всех ее этапах (начиная с самой ранней стадии —«старт-апа»). Так, при переходе от опытно-конструкторских работ к организации производства должны быть приняты рискованные и принципиальные решения. Здесь требуется не только оценить возможность практической реализации ноу-хау, воплощенного в конструкторской документации, но и спрогнозировать рыночные перспективы, точно задать темпы и объемы развития производства. На этом этапе управление компанией должно переходить от научно-технического руководителя проекта к организационно-административному лидеру и его бизнес-команде.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Однако молодая инновационная компания в это время еще не имеет средств на привлечение профессионального Генерального Директора, команды менеджеров, бухгалтера, юриста. Происходит это потому, что венчурному капиталисту еще не о чем разговаривать с лидером этого малого предприятия: инвестор говорит на языке бизнес-планов, финансовых схем и маркетинговых исследований, а научно-техническое руководство инновационного «старт-апа» готово профессионально общаться только на языке физики, математического моделирования, химии, биотехнологии и т. п. Получается, что инвесторов и разработчиков должно связывать очень важное «передаточное звено» — профессиональная управляющая компания по сопровождению инновационных проектов.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Международный фонд технологий и инвестиций (The International Foundation of Technology and Investment — IFTI) — неправительственная некоммерческая организация, основанная в 2000 году. Начиная с 2003 года активно реализует программу содействия коммерциализации научных разработок. За это время проведена экспертиза более чем 1000 разработок, поддержано 15 проектов на стадии разработки прототипа (на этапе опытно-конструкторских работ), организовано девять малых инновационных предприятий, создана и успешно работает Управляющая компания IFTI по сопровождению инновационных проектов.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После того как Вы решили, кто будет проводить маркетинговые исследования, я рекомендую придерживаться следующего порядка действий.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1. Кабинетные исследования. На этом этапе нужно: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составить детализованную программу исследования;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разработать опросные листы и критерии оценки глубинных и экспертных интервью;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протестировать и скорректировать опросные листы и выбранные критерии;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проанализировать данные из открытых источников;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определить конкурентов.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2. Полевые исследования. На этом этапе осуществляется: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осмотр и изучение объекта коммерциализации;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изучение схожей продукции ближайших конкурентов.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3. Глубинные интервью с представителями целевой аудитории. Цель глубинных интервью — ответ на вопрос: «Как и почему Вы покупаете?». Для этого создайте на встрече доверительную обстановку и задайте вопросы о финансовых условиях, возможном кредитовании, а также о факторах, существенным образом влияющих на покупку и выбор. Для создания репрезентативной картины потребительских мнений и суждений по проблеме я рекомендую провести десять глубинных интервью с реальными и потенциальными покупателями.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4. Экспертные интервью. Для уточнения информации о рынке, экспертной оценки предполагаемого проекта и выявления требований к бизнес-модели нужно опросить специалистов рынка, а именно: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производителей;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дистрибьюторов;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представителей ритейла;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аналитиков рынка;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представителей регулирующих и государственных органов;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специалистов, работающих в венчурных и инвестиционных компаниях.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Для выработки надежного маркетингового прогноза нужно провести около десяти интервью с профессионалами рынка.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Результаты такого маркетингового исследования являются фундаментом для наиболее эффективной программы коммерциализации, которую нужно отразить в бизнес-плане.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>Что в результате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На основе полученных данных Ваши сотрудники должны разработать маркетинговую часть бизнес-плана инновационного проекта, которая содержит следующую информацию.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1. Бизнес-модель. Исходя из анализа данных маркетинговых исследований и экспертных оценок нужно выработать рекомендации по комплексной стратегии коммерциализации технологии. Для этого, указывая основные технико-экономические показатели, выделите приоритетные: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типы продукции;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виды услуг;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сервисы.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2. Рынки сбыта и концепция позиционирования. Исходя из наиболее значимых целевых групп потребителей обозначьте ключевые рынки сбыта и концепции позиционирования. Для этого: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определите главное предложение потенциальным покупателям;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разработайте систему доказательств ценности предложения этим покупателям;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выработайте комплекс поддерживающих идей для наиболее эффективного продвижения бренда.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3. Выбор партнеров. Приняв во внимание существующих на рынке игроков и проанализировав конкурентную ситуацию, разработайте рекомендации по условиям сотрудничества со следующими партнерами: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производителями;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дистрибьюторами;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венчурными компаниями;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стратегическими инвесторами.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4. Ценовая политика. Опираясь на преимущества новой технологии, сроки защиты проекта и текущую ситуацию на рынке, выработайте рекомендации, касающиеся: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взаимоотношений с дистрибьюторами;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розничных цен. </w:t>
      </w:r>
    </w:p>
    <w:p w:rsidR="004D2164" w:rsidRPr="00095A62" w:rsidRDefault="004D2164" w:rsidP="004D2164">
      <w:pPr>
        <w:spacing w:before="120"/>
        <w:ind w:firstLine="567"/>
        <w:jc w:val="both"/>
      </w:pPr>
      <w:r w:rsidRPr="00095A62">
        <w:t xml:space="preserve">Теперь можно заниматься финансовым обеспечением проекта и приступать к его коммерческой разработке.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164"/>
    <w:rsid w:val="00095A62"/>
    <w:rsid w:val="000E3B6D"/>
    <w:rsid w:val="003E2EE0"/>
    <w:rsid w:val="004D2164"/>
    <w:rsid w:val="0050390D"/>
    <w:rsid w:val="00647393"/>
    <w:rsid w:val="00865522"/>
    <w:rsid w:val="00B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39F7F6-0738-4CF9-AD94-25A3AC4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164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10806</Characters>
  <Application>Microsoft Office Word</Application>
  <DocSecurity>0</DocSecurity>
  <Lines>90</Lines>
  <Paragraphs>25</Paragraphs>
  <ScaleCrop>false</ScaleCrop>
  <Company>Home</Company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в венчурном проекте</dc:title>
  <dc:subject/>
  <dc:creator>Alena</dc:creator>
  <cp:keywords/>
  <dc:description/>
  <cp:lastModifiedBy>admin</cp:lastModifiedBy>
  <cp:revision>2</cp:revision>
  <dcterms:created xsi:type="dcterms:W3CDTF">2014-02-19T17:53:00Z</dcterms:created>
  <dcterms:modified xsi:type="dcterms:W3CDTF">2014-02-19T17:53:00Z</dcterms:modified>
</cp:coreProperties>
</file>