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7C" w:rsidRPr="003B5283" w:rsidRDefault="00ED637C" w:rsidP="00ED637C">
      <w:pPr>
        <w:spacing w:before="120"/>
        <w:jc w:val="center"/>
        <w:rPr>
          <w:b/>
          <w:bCs/>
          <w:sz w:val="32"/>
          <w:szCs w:val="32"/>
        </w:rPr>
      </w:pPr>
      <w:r w:rsidRPr="003B5283">
        <w:rPr>
          <w:b/>
          <w:bCs/>
          <w:sz w:val="32"/>
          <w:szCs w:val="32"/>
        </w:rPr>
        <w:t xml:space="preserve">Математические модели в управлении формированием культуры самостоятельной деятельности и оценке его результатов </w:t>
      </w:r>
    </w:p>
    <w:p w:rsidR="00ED637C" w:rsidRPr="006A2C2F" w:rsidRDefault="00ED637C" w:rsidP="00ED637C">
      <w:pPr>
        <w:spacing w:before="120"/>
        <w:jc w:val="center"/>
        <w:rPr>
          <w:sz w:val="28"/>
          <w:szCs w:val="28"/>
        </w:rPr>
      </w:pPr>
      <w:r w:rsidRPr="003B5283">
        <w:rPr>
          <w:sz w:val="28"/>
          <w:szCs w:val="28"/>
        </w:rPr>
        <w:t>Е. И. Мещерякова</w:t>
      </w:r>
      <w:r>
        <w:rPr>
          <w:sz w:val="28"/>
          <w:szCs w:val="28"/>
        </w:rPr>
        <w:t xml:space="preserve">, </w:t>
      </w:r>
      <w:r w:rsidRPr="006A2C2F">
        <w:rPr>
          <w:sz w:val="28"/>
          <w:szCs w:val="28"/>
        </w:rPr>
        <w:t xml:space="preserve">Воронежский институт МВД России </w:t>
      </w:r>
    </w:p>
    <w:p w:rsidR="00ED637C" w:rsidRDefault="00ED637C" w:rsidP="00ED637C">
      <w:pPr>
        <w:spacing w:before="120"/>
        <w:ind w:firstLine="567"/>
        <w:jc w:val="both"/>
      </w:pPr>
      <w:r w:rsidRPr="003B5283">
        <w:t>Для количественного измерения результатов использования различных систем обучения нами разработаны математические модели, в частности, модель интегрального показателя использования различных систем обучения юридическим дисциплинам и модель оценки способности курсантов выбирать правильные решения при выполнении тестовых заданий в процессе осуществления контроля.</w: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>Модель итогового интегрального показателя применения определенной системы обучения выглядит следующим образом:</w:t>
      </w:r>
    </w:p>
    <w:p w:rsidR="00ED637C" w:rsidRPr="003B5283" w:rsidRDefault="001A7892" w:rsidP="00ED637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7.75pt">
            <v:imagedata r:id="rId4" o:title=""/>
          </v:shape>
        </w:pict>
      </w:r>
    </w:p>
    <w:p w:rsidR="00ED637C" w:rsidRDefault="00ED637C" w:rsidP="00ED637C">
      <w:pPr>
        <w:spacing w:before="120"/>
        <w:ind w:firstLine="567"/>
        <w:jc w:val="both"/>
      </w:pPr>
      <w:r w:rsidRPr="003B5283">
        <w:t>Здесь система количественных характеристик результата обучения представлена с помощью nмерного вектора X (в качестве элементов системы можно рассматривать, например, средний балл текущего, рубежного или итогового контроля, экспертные оценки уровня развития способности к самоорганизации, степени интенсивности обучения, мотивации самостоятельной деятельности и многие другие). Значимость каждого показателя, входящего в эту систему, задается весовыми коэффициентами, система которых обозначена W и для n результирующих показателей выглядит как диагональная матрица. Систему показателей, характеризующих затраты времени преподавателя для осуществления им определенных действий, связанных с разработкой и применением либо только с применением системы обучения, обозначим с помощью m-мерного вектора U. Если учесть, что при максимизации интегрального показателя результатов применения системы обучения целесообразно делать это с минимальными затратами времени преподавателя, то вектор будет включать в качестве элементов t 1 j . Каждой из составляющих затрат времени преподавателя присваиваем весовой коэффициент, исчисленный с помощью экспертных оценок, и обозначаем систему таких коэффициентов Q, а система таких коэффициентов приобретает вид диагональной матрицы. Тогда первое слагаемой формулы учитывает только те характеристики, которые непосредственно связаны с управлением учебной и познавательной деятельностью курсантов в процессе изучения ими юридической дисциплины с применением определенной системы обучения, а второе слагаемое - затраты времени преподавателя на разработку системы, ее методического обеспечения и совершенствования в процессе применения.</w:t>
      </w:r>
    </w:p>
    <w:p w:rsidR="00ED637C" w:rsidRDefault="00ED637C" w:rsidP="00ED637C">
      <w:pPr>
        <w:spacing w:before="120"/>
        <w:ind w:firstLine="567"/>
        <w:jc w:val="both"/>
      </w:pPr>
      <w:r w:rsidRPr="003B5283">
        <w:t>Изменяя значения весовых коэффициентов, можно найти такое значение интегрального показателя, которое обеспечивает самые высокие при заданных условиях результаты обучения. Если же при одинаковых весовых коэффициентах определить результаты в соответствии с количественными оценками составляющих таких результатов, то можно судить о величине интегрального показателя применения конкретной системы обучения.</w: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>Мы проводили расчеты интегральных показателей перед началом и по окончании семестра после завершения эксперимента по применению креативно - акцентной системы обучения. В качестве показателей, учитываемых для характеристики результатов процесса обучения с применением традиционной (1 поток, 1 группа) и креативно - акцентной (2 поток, 4 группа) систем обучения использовались следующие: уровень успеваемости (средний балл), способности применять полученные знания для анализа конкретных ситуаций, соотношение между производительным и непроизводительным временем самостоятельной подготовки, повышение ответственности за результаты обучения, уровень информационный культуры, укрепление убежденности в правильности выбора профессии, сформированность правового мировоззрения. Только первый из указанных показателей имеет фиксированную количественную оценку, все остальные количественные оценки определялись на основе мнений экспертов о степени значимости соответствующей результирующей характеристики. Степень согласованности мнений экспертов определена с помощью рассчитанного нами коэффициента конкордации, величина которого, оцененная по критерию х2 позволяет утверждать, что мнения экспертов согласованы и в них прослеживается закономерность. По результатам расчетов значения интегральных коэффициентов соответственно составили: в 1 группе перед началом изучения финансового права 353,33 единицы, после изучения - 396,94 единицы; в 4 группе - 495,9 единицы и 550,74 единицы соответственно. Это означает, что применение креативно - акцентной системы обучения привело к более высоким результатам, обеспечило более высокую эффективность обучения. Обращает на себя внимание и то обстоятельство, что интегральный показатель возрос в контрольной группе на 28,41 единицы, в экспериментальной - на 86,26 единицы.</w:t>
      </w:r>
    </w:p>
    <w:p w:rsidR="00ED637C" w:rsidRDefault="00ED637C" w:rsidP="00ED637C">
      <w:pPr>
        <w:spacing w:before="120"/>
        <w:ind w:firstLine="567"/>
        <w:jc w:val="both"/>
      </w:pPr>
      <w:r w:rsidRPr="003B5283">
        <w:t>Особый интерес представляет построение математических моделей для описания развития творческих способностей в связи с применением конкретных систем обучения. Вряд ли возможно построение математической модели, которая отразила бы все составляющие сложнейшего процесса управления развитием креативных способностей, ведь и процесс, и способности не поддаются количественной оценке. Однако некоторые их составляющие, по нашему мнению, поддаются математическому моделированию. Мы представили с помощью модели оценку способности выбирать правильное решение при выполнении тестовых заданий. Тестовые задания строились таким образом, что позволяли оценить как знания дефиниций, так и способности творчески осмысливать знакомые, малознакомые и незнакомые ситуации, задаваемые тестом.</w:t>
      </w:r>
    </w:p>
    <w:p w:rsidR="00ED637C" w:rsidRDefault="00ED637C" w:rsidP="00ED637C">
      <w:pPr>
        <w:spacing w:before="120"/>
        <w:ind w:firstLine="567"/>
        <w:jc w:val="both"/>
      </w:pPr>
      <w:r w:rsidRPr="003B5283">
        <w:t>В разработке представляемой модели мы использовали общие подходы Р. Аткинсона, предложенные им для процесса поиска и принятия решений при опознании1. В нашей модели процесс оценки тестовых ситуаций и выбора варианта ответа испытуемыми (курсантами, слушателями) рассматривается как вероятностный и исследован методами теории вероятностей, которые применялись для оценки уровня сформированности творческих способностей субъектов, изучивших юридическую дисциплину без применения и с применением креативно - акцентной системы обучения. Критерий - время выбора правильного варианта в тестовых заданиях различной сложности. Сложность тестового задания определялась тем, насколько знаком испытуемому правильный ответ - содержится ли он в его памяти как результат изучения дисциплины или требует поиска путем сопоставления понятий, размышления и осуществления иных мыслительных действий.</w:t>
      </w:r>
    </w:p>
    <w:p w:rsidR="00ED637C" w:rsidRDefault="00ED637C" w:rsidP="00ED637C">
      <w:pPr>
        <w:spacing w:before="120"/>
        <w:ind w:firstLine="567"/>
        <w:jc w:val="both"/>
      </w:pPr>
      <w:r w:rsidRPr="003B5283">
        <w:t>Мы обозначили группу тестов с правильными положительными ответами Р, а группу тестов с правильными отрицательными ответами N. В группу с правильными положительными ответами включили те, для выбора которых достаточно помнить правильные определения понятий и нормативных источников, в группе тестовых заданий с правильными отрицательными ответами выделили соответственно сложности заданий три подгруппы:</w:t>
      </w:r>
    </w:p>
    <w:p w:rsidR="00ED637C" w:rsidRDefault="00ED637C" w:rsidP="00ED637C">
      <w:pPr>
        <w:spacing w:before="120"/>
        <w:ind w:firstLine="567"/>
        <w:jc w:val="both"/>
      </w:pPr>
      <w:r w:rsidRPr="003B5283">
        <w:t>N(1), N(2), N(3).</w: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>Модель математического ожидания правильного ответа выглядит следующим образом:</w:t>
      </w:r>
    </w:p>
    <w:p w:rsidR="00ED637C" w:rsidRPr="003B5283" w:rsidRDefault="001A7892" w:rsidP="00ED637C">
      <w:pPr>
        <w:spacing w:before="120"/>
        <w:ind w:firstLine="567"/>
        <w:jc w:val="both"/>
      </w:pPr>
      <w:r>
        <w:pict>
          <v:shape id="_x0000_i1026" type="#_x0000_t75" style="width:164.25pt;height:32.25pt">
            <v:imagedata r:id="rId5" o:title=""/>
          </v:shape>
        </w:pic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>Здесь l - время, необходимое для изучения курсантом тестового задания и его понимания; ρ — время принятия решения об осуществлении ответа, основанного только на запоминании изученного материала, которое берется с весом, равным его вероятности; k + αm - время, необходимое для поиска ответов на тестовые задания, в которых требуется не только вспомнить, но и проанализировать ситуации, также взятое с весом, равным его вероятности; r0, r1 - время осуществления ответа на вопросы первой и второй групп тестов соответ - -1 ственно;</w:t>
      </w:r>
    </w:p>
    <w:p w:rsidR="00ED637C" w:rsidRPr="003B5283" w:rsidRDefault="001A7892" w:rsidP="00ED637C">
      <w:pPr>
        <w:spacing w:before="120"/>
        <w:ind w:firstLine="567"/>
        <w:jc w:val="both"/>
      </w:pPr>
      <w:r>
        <w:pict>
          <v:shape id="_x0000_i1027" type="#_x0000_t75" style="width:104.25pt;height:39pt">
            <v:imagedata r:id="rId6" o:title=""/>
          </v:shape>
        </w:pic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 xml:space="preserve">для груп - пы тестов с правильными положительными отве - тами и </w:t>
      </w:r>
    </w:p>
    <w:p w:rsidR="00ED637C" w:rsidRPr="003B5283" w:rsidRDefault="001A7892" w:rsidP="00ED637C">
      <w:pPr>
        <w:spacing w:before="120"/>
        <w:ind w:firstLine="567"/>
        <w:jc w:val="both"/>
      </w:pPr>
      <w:r>
        <w:pict>
          <v:shape id="_x0000_i1028" type="#_x0000_t75" style="width:146.25pt;height:37.5pt">
            <v:imagedata r:id="rId7" o:title=""/>
          </v:shape>
        </w:pict>
      </w:r>
    </w:p>
    <w:p w:rsidR="00ED637C" w:rsidRDefault="00ED637C" w:rsidP="00ED637C">
      <w:pPr>
        <w:spacing w:before="120"/>
        <w:ind w:firstLine="567"/>
        <w:jc w:val="both"/>
      </w:pPr>
      <w:r w:rsidRPr="003B5283">
        <w:t>для группы тес - тов с правильными отрицательными ответами. Величины śi и s определяются соответствующими функциями распределения знакомости курсантам информации, содержащейся в тестовом задании, значениями с0, с1 и не зависят от m, a t(Ni)и t(P), построенные как функции m, представляют собой прямые, наклон которых определяется соответственно αs'i и αs.</w: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>Полученные в процессе наблюдения данные о времени выбора правильных ответов, а также осуществление расчетов с помощью приведенных при описании модели формул позволили получить результаты, представленные графически на рис.1. Здесь сплошными и пунктирными линиями показаны прямые, характеризующие показатели времени правильных ответов для экспериментальной и контрольной групп соответственно, они обозначены:</w:t>
      </w:r>
    </w:p>
    <w:p w:rsidR="00ED637C" w:rsidRPr="003B5283" w:rsidRDefault="001A7892" w:rsidP="00ED637C">
      <w:pPr>
        <w:spacing w:before="120"/>
        <w:ind w:firstLine="567"/>
        <w:jc w:val="both"/>
      </w:pPr>
      <w:r>
        <w:pict>
          <v:shape id="_x0000_i1029" type="#_x0000_t75" style="width:215.25pt;height:186.75pt">
            <v:imagedata r:id="rId8" o:title=""/>
          </v:shape>
        </w:pict>
      </w:r>
    </w:p>
    <w:p w:rsidR="00ED637C" w:rsidRPr="003B5283" w:rsidRDefault="00ED637C" w:rsidP="00ED637C">
      <w:pPr>
        <w:spacing w:before="120"/>
        <w:ind w:firstLine="567"/>
        <w:jc w:val="both"/>
      </w:pPr>
      <w:r w:rsidRPr="003B5283">
        <w:t>1 – для подгруппы вопросов, на которые правильным является положительный ответ, 2,3,4, - для подгрупп вопросов, на который правильным является отрицательный ответ. Как видно, время выбора правильного варианта ответа по всем подгруппам вопросов меньше у конкурсантов, изучающих дисциплину в примене - нием креативно – акцентной системы обучения, хотя различия во времени по подгруппам неодинаковы, о чем свидетельствуют различные углы наклона прямых и расстояния между прямыми, отражающими математические ожидания времени выбора правильных ответов по соответствующим подгруппам вопросов.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37C"/>
    <w:rsid w:val="00051FB8"/>
    <w:rsid w:val="00095BA6"/>
    <w:rsid w:val="001A7892"/>
    <w:rsid w:val="00210DB3"/>
    <w:rsid w:val="0031418A"/>
    <w:rsid w:val="00350B15"/>
    <w:rsid w:val="00377A3D"/>
    <w:rsid w:val="003B5283"/>
    <w:rsid w:val="0052086C"/>
    <w:rsid w:val="005A2562"/>
    <w:rsid w:val="006A2C2F"/>
    <w:rsid w:val="00755964"/>
    <w:rsid w:val="008C19D7"/>
    <w:rsid w:val="00A44D32"/>
    <w:rsid w:val="00CD666B"/>
    <w:rsid w:val="00E12572"/>
    <w:rsid w:val="00E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16F305E4-0657-4318-9ABB-B6737203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7334</Characters>
  <Application>Microsoft Office Word</Application>
  <DocSecurity>0</DocSecurity>
  <Lines>61</Lines>
  <Paragraphs>17</Paragraphs>
  <ScaleCrop>false</ScaleCrop>
  <Company>Home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Математические модели в управлении формированием культуры самостоятельной деятельности и оценке его результатов </dc:title>
  <dc:subject/>
  <dc:creator>Alena</dc:creator>
  <cp:keywords/>
  <dc:description/>
  <cp:lastModifiedBy>admin</cp:lastModifiedBy>
  <cp:revision>2</cp:revision>
  <dcterms:created xsi:type="dcterms:W3CDTF">2014-02-18T15:28:00Z</dcterms:created>
  <dcterms:modified xsi:type="dcterms:W3CDTF">2014-02-18T15:28:00Z</dcterms:modified>
</cp:coreProperties>
</file>