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78" w:rsidRPr="006131C6" w:rsidRDefault="00015A78" w:rsidP="00015A78">
      <w:pPr>
        <w:spacing w:before="120"/>
        <w:jc w:val="center"/>
        <w:rPr>
          <w:b/>
          <w:bCs/>
          <w:sz w:val="32"/>
          <w:szCs w:val="32"/>
        </w:rPr>
      </w:pPr>
      <w:r w:rsidRPr="006131C6">
        <w:rPr>
          <w:b/>
          <w:bCs/>
          <w:sz w:val="32"/>
          <w:szCs w:val="32"/>
        </w:rPr>
        <w:t>Моделирование синхронных электродвигателей с учетом изменения уровня напряжения питающей сети</w:t>
      </w:r>
    </w:p>
    <w:p w:rsidR="00015A78" w:rsidRPr="006131C6" w:rsidRDefault="00015A78" w:rsidP="00015A78">
      <w:pPr>
        <w:spacing w:before="120"/>
        <w:jc w:val="center"/>
        <w:rPr>
          <w:sz w:val="28"/>
          <w:szCs w:val="28"/>
        </w:rPr>
      </w:pPr>
      <w:r w:rsidRPr="006131C6">
        <w:rPr>
          <w:sz w:val="28"/>
          <w:szCs w:val="28"/>
        </w:rPr>
        <w:t>Р.А. Олимов, И.В. Кирилин Норильский индустриальный институт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Известно, что под математической моделью элемента схемы электро-снабжения понимается совокупность математических уравнений, их</w:t>
      </w:r>
      <w:r>
        <w:t xml:space="preserve"> </w:t>
      </w:r>
      <w:r w:rsidRPr="00AE6B2C">
        <w:t>коэффициентов и</w:t>
      </w:r>
      <w:r>
        <w:t xml:space="preserve"> </w:t>
      </w:r>
      <w:r w:rsidRPr="00AE6B2C">
        <w:t>неравенств, описывающих определенное состояние или процессы в</w:t>
      </w:r>
      <w:r>
        <w:t xml:space="preserve"> </w:t>
      </w:r>
      <w:r w:rsidRPr="00AE6B2C">
        <w:t>элементе. Универсальных математических моделей элементов, в</w:t>
      </w:r>
      <w:r>
        <w:t xml:space="preserve"> </w:t>
      </w:r>
      <w:r w:rsidRPr="00AE6B2C">
        <w:t>полной мере отражающих процессы, происходящие в</w:t>
      </w:r>
      <w:r>
        <w:t xml:space="preserve"> </w:t>
      </w:r>
      <w:r w:rsidRPr="00AE6B2C">
        <w:t>них, не</w:t>
      </w:r>
      <w:r>
        <w:t xml:space="preserve"> </w:t>
      </w:r>
      <w:r w:rsidRPr="00AE6B2C">
        <w:t>существует. Поэтому в</w:t>
      </w:r>
      <w:r>
        <w:t xml:space="preserve"> </w:t>
      </w:r>
      <w:r w:rsidRPr="00AE6B2C">
        <w:t>модели обычно выделяют те</w:t>
      </w:r>
      <w:r>
        <w:t xml:space="preserve"> </w:t>
      </w:r>
      <w:r w:rsidRPr="00AE6B2C">
        <w:t>свойства элемента, которые доминируют в</w:t>
      </w:r>
      <w:r>
        <w:t xml:space="preserve"> </w:t>
      </w:r>
      <w:r w:rsidRPr="00AE6B2C">
        <w:t>рассматриваемом процессе, и</w:t>
      </w:r>
      <w:r>
        <w:t xml:space="preserve"> </w:t>
      </w:r>
      <w:r w:rsidRPr="00AE6B2C">
        <w:t>пренебрегают свойствами, мало влияющими на</w:t>
      </w:r>
      <w:r>
        <w:t xml:space="preserve"> </w:t>
      </w:r>
      <w:r w:rsidRPr="00AE6B2C">
        <w:t>результат расчетов. Однако для повышения точности расчетов по</w:t>
      </w:r>
      <w:r>
        <w:t xml:space="preserve"> </w:t>
      </w:r>
      <w:r w:rsidRPr="00AE6B2C">
        <w:t>возможности следует учитывать влияние, даже, казалось</w:t>
      </w:r>
      <w:r>
        <w:t xml:space="preserve"> </w:t>
      </w:r>
      <w:r w:rsidRPr="00AE6B2C">
        <w:t>бы, несущественных изменений величин, принимаемых при моделировании неизменными.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В сетях общего промышленного назначения согласно ГОСТ 13109-97</w:t>
      </w:r>
      <w:r>
        <w:t xml:space="preserve"> </w:t>
      </w:r>
      <w:r w:rsidRPr="00AE6B2C">
        <w:t>до-пускается эксплуатировать электро-установки в</w:t>
      </w:r>
      <w:r>
        <w:t xml:space="preserve"> </w:t>
      </w:r>
      <w:r w:rsidRPr="00AE6B2C">
        <w:t>течение длительного времени (95%</w:t>
      </w:r>
      <w:r>
        <w:t xml:space="preserve"> </w:t>
      </w:r>
      <w:r w:rsidRPr="00AE6B2C">
        <w:t>каждых суток (22</w:t>
      </w:r>
      <w:r>
        <w:t xml:space="preserve"> </w:t>
      </w:r>
      <w:r w:rsidRPr="00AE6B2C">
        <w:t>ч</w:t>
      </w:r>
      <w:r>
        <w:t xml:space="preserve"> </w:t>
      </w:r>
      <w:r w:rsidRPr="00AE6B2C">
        <w:t>48</w:t>
      </w:r>
      <w:r>
        <w:t xml:space="preserve"> </w:t>
      </w:r>
      <w:r w:rsidRPr="00AE6B2C">
        <w:t>мин)) при отклонениях напряжения (±5%) и</w:t>
      </w:r>
      <w:r>
        <w:t xml:space="preserve"> </w:t>
      </w:r>
      <w:r w:rsidRPr="00AE6B2C">
        <w:t>в</w:t>
      </w:r>
      <w:r>
        <w:t xml:space="preserve"> </w:t>
      </w:r>
      <w:r w:rsidRPr="00AE6B2C">
        <w:t>те-чение остальных 5%</w:t>
      </w:r>
      <w:r>
        <w:t xml:space="preserve"> </w:t>
      </w:r>
      <w:r w:rsidRPr="00AE6B2C">
        <w:t>(1</w:t>
      </w:r>
      <w:r>
        <w:t xml:space="preserve"> </w:t>
      </w:r>
      <w:r w:rsidRPr="00AE6B2C">
        <w:t>ч</w:t>
      </w:r>
      <w:r>
        <w:t xml:space="preserve"> </w:t>
      </w:r>
      <w:r w:rsidRPr="00AE6B2C">
        <w:t>12 мин) – при отклонениях ±10%. Систематические отклонения напряжения, превышающие нормированные align=«center»значения по</w:t>
      </w:r>
      <w:r>
        <w:t xml:space="preserve"> </w:t>
      </w:r>
      <w:r w:rsidRPr="00AE6B2C">
        <w:t>величине и</w:t>
      </w:r>
      <w:r>
        <w:t xml:space="preserve"> </w:t>
      </w:r>
      <w:r w:rsidRPr="00AE6B2C">
        <w:t>длительности, характерны, в</w:t>
      </w:r>
      <w:r>
        <w:t xml:space="preserve"> </w:t>
      </w:r>
      <w:r w:rsidRPr="00AE6B2C">
        <w:t>частности, для локальных энергосистем, напри-мер, для Норильской энергосистемы. Несмотря на</w:t>
      </w:r>
      <w:r>
        <w:t xml:space="preserve"> </w:t>
      </w:r>
      <w:r w:rsidRPr="00AE6B2C">
        <w:t>низкий коэффициент мощно-сти потребителей промышленных предприятий Норильской горной компании, среднеэксплуатационные уровни напряжений в</w:t>
      </w:r>
      <w:r>
        <w:t xml:space="preserve"> </w:t>
      </w:r>
      <w:r w:rsidRPr="00AE6B2C">
        <w:t>сети 110</w:t>
      </w:r>
      <w:r>
        <w:t xml:space="preserve"> </w:t>
      </w:r>
      <w:r w:rsidRPr="00AE6B2C">
        <w:t>кВ</w:t>
      </w:r>
      <w:r>
        <w:t xml:space="preserve"> </w:t>
      </w:r>
      <w:r w:rsidRPr="00AE6B2C">
        <w:t>энергосистемы поддерживаются на</w:t>
      </w:r>
      <w:r>
        <w:t xml:space="preserve"> </w:t>
      </w:r>
      <w:r w:rsidRPr="00AE6B2C">
        <w:t>достаточно высоком уровне (117</w:t>
      </w:r>
      <w:r>
        <w:t xml:space="preserve"> </w:t>
      </w:r>
      <w:r w:rsidRPr="00AE6B2C">
        <w:t>– 122</w:t>
      </w:r>
      <w:r>
        <w:t xml:space="preserve"> </w:t>
      </w:r>
      <w:r w:rsidRPr="00AE6B2C">
        <w:t>кВ). Это объясняет-ся малой протяженностью системообразующих и</w:t>
      </w:r>
      <w:r>
        <w:t xml:space="preserve"> </w:t>
      </w:r>
      <w:r w:rsidRPr="00AE6B2C">
        <w:t>тупиковых линий. Напряжения на</w:t>
      </w:r>
      <w:r>
        <w:t xml:space="preserve"> </w:t>
      </w:r>
      <w:r w:rsidRPr="00AE6B2C">
        <w:t>шинах низшего напряжения трансформаторных подстанций также часто превышают номинальные значения на</w:t>
      </w:r>
      <w:r>
        <w:t xml:space="preserve"> </w:t>
      </w:r>
      <w:r w:rsidRPr="00AE6B2C">
        <w:t>5-10%. Причиной этого является отсут-ствие встречного регулирования напряжения на</w:t>
      </w:r>
      <w:r>
        <w:t xml:space="preserve"> </w:t>
      </w:r>
      <w:r w:rsidRPr="00AE6B2C">
        <w:t>трансформаторах главных по-низительных подстанций (при наличии устройств РПН). Последнее обстоятель-ство обусловлено суровыми климатическими условиями эксплуатации трансформаторов на</w:t>
      </w:r>
      <w:r>
        <w:t xml:space="preserve"> </w:t>
      </w:r>
      <w:r w:rsidRPr="00AE6B2C">
        <w:t>площадках открытых распределительных устройств и</w:t>
      </w:r>
      <w:r>
        <w:t xml:space="preserve"> </w:t>
      </w:r>
      <w:r w:rsidRPr="00AE6B2C">
        <w:t xml:space="preserve">отсутствием нормативной численности персонала. Рассмотрим, каким образом можно учесть отклонения напряжения при разработке математической модели синхронного двигателя для определения его возможностей как источника реактивной мощности. 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Увеличение напряжения приводит к</w:t>
      </w:r>
      <w:r>
        <w:t xml:space="preserve"> </w:t>
      </w:r>
      <w:r w:rsidRPr="00AE6B2C">
        <w:t>росту намагничивающего тока двигателя со</w:t>
      </w:r>
      <w:r>
        <w:t xml:space="preserve"> </w:t>
      </w:r>
      <w:r w:rsidRPr="00AE6B2C">
        <w:t>стороны статора и</w:t>
      </w:r>
      <w:r>
        <w:t xml:space="preserve"> </w:t>
      </w:r>
      <w:r w:rsidRPr="00AE6B2C">
        <w:t>снижению индуктивного сопротивления взаимной индукции по</w:t>
      </w:r>
      <w:r>
        <w:t xml:space="preserve"> </w:t>
      </w:r>
      <w:r w:rsidRPr="00AE6B2C">
        <w:t xml:space="preserve">продольной оси </w:t>
      </w:r>
      <w:r w:rsidR="006D59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.25pt;height:32.25pt">
            <v:imagedata r:id="rId4" o:title=""/>
          </v:shape>
        </w:pict>
      </w:r>
      <w:r w:rsidRPr="00AE6B2C">
        <w:t>двигателя по</w:t>
      </w:r>
      <w:r>
        <w:t xml:space="preserve"> </w:t>
      </w:r>
      <w:r w:rsidRPr="00AE6B2C">
        <w:t>сравнению с</w:t>
      </w:r>
      <w:r>
        <w:t xml:space="preserve"> </w:t>
      </w:r>
      <w:r w:rsidRPr="00AE6B2C">
        <w:t>номинальным режимом</w:t>
      </w:r>
    </w:p>
    <w:p w:rsidR="00015A78" w:rsidRPr="00AE6B2C" w:rsidRDefault="006D597A" w:rsidP="00015A78">
      <w:pPr>
        <w:spacing w:before="120"/>
        <w:ind w:firstLine="567"/>
        <w:jc w:val="both"/>
      </w:pPr>
      <w:r>
        <w:pict>
          <v:shape id="_x0000_i1026" type="#_x0000_t75" alt="" style="width:425.25pt;height:108pt">
            <v:imagedata r:id="rId5" o:title=""/>
          </v:shape>
        </w:pict>
      </w:r>
      <w:r w:rsidR="00015A78" w:rsidRPr="00AE6B2C">
        <w:t>(1)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 xml:space="preserve">здесь </w:t>
      </w:r>
      <w:r w:rsidR="006D597A">
        <w:pict>
          <v:shape id="_x0000_i1027" type="#_x0000_t75" alt="" style="width:39pt;height:32.25pt">
            <v:imagedata r:id="rId6" o:title=""/>
          </v:shape>
        </w:pict>
      </w:r>
      <w:r w:rsidRPr="00AE6B2C">
        <w:t>коэффициент, вводимый для перехода от</w:t>
      </w:r>
      <w:r>
        <w:t xml:space="preserve"> </w:t>
      </w:r>
      <w:r w:rsidRPr="00AE6B2C">
        <w:t>намагничивающей силы обмотки якоря к</w:t>
      </w:r>
      <w:r>
        <w:t xml:space="preserve"> </w:t>
      </w:r>
      <w:r w:rsidRPr="00AE6B2C">
        <w:t xml:space="preserve">намагничивающей силе обмотки возбуждения; </w:t>
      </w:r>
      <w:r w:rsidR="006D597A">
        <w:pict>
          <v:shape id="_x0000_i1028" type="#_x0000_t75" alt="" style="width:41.25pt;height:34.5pt">
            <v:imagedata r:id="rId7" o:title=""/>
          </v:shape>
        </w:pict>
      </w:r>
      <w:r w:rsidRPr="00AE6B2C">
        <w:t xml:space="preserve">– магнитная </w:t>
      </w:r>
      <w:r w:rsidRPr="00AE6B2C">
        <w:lastRenderedPageBreak/>
        <w:t>индукция в</w:t>
      </w:r>
      <w:r>
        <w:t xml:space="preserve"> </w:t>
      </w:r>
      <w:r w:rsidRPr="00AE6B2C">
        <w:t xml:space="preserve">зазоре; </w:t>
      </w:r>
      <w:r w:rsidR="006D597A">
        <w:pict>
          <v:shape id="_x0000_i1029" type="#_x0000_t75" alt="" style="width:39pt;height:32.25pt">
            <v:imagedata r:id="rId8" o:title=""/>
          </v:shape>
        </w:pict>
      </w:r>
      <w:r w:rsidRPr="00AE6B2C">
        <w:t>– число последовательно соединенных витков, которым при данном магнитном потоке определяется значение ЭДС в</w:t>
      </w:r>
      <w:r>
        <w:t xml:space="preserve"> </w:t>
      </w:r>
      <w:r w:rsidRPr="00AE6B2C">
        <w:t xml:space="preserve">фазе обмотки; </w:t>
      </w:r>
      <w:r w:rsidR="006D597A">
        <w:pict>
          <v:shape id="_x0000_i1030" type="#_x0000_t75" alt="" style="width:36.75pt;height:34.5pt">
            <v:imagedata r:id="rId9" o:title=""/>
          </v:shape>
        </w:pict>
      </w:r>
      <w:r>
        <w:t xml:space="preserve"> </w:t>
      </w:r>
      <w:r w:rsidRPr="00AE6B2C">
        <w:t xml:space="preserve">— обмоточный коэффициент; </w:t>
      </w:r>
      <w:r w:rsidR="006D597A">
        <w:pict>
          <v:shape id="_x0000_i1031" type="#_x0000_t75" alt="" style="width:36.75pt;height:34.5pt">
            <v:imagedata r:id="rId10" o:title=""/>
          </v:shape>
        </w:pict>
      </w:r>
      <w:r>
        <w:t xml:space="preserve"> </w:t>
      </w:r>
      <w:r w:rsidRPr="00AE6B2C">
        <w:t xml:space="preserve">— относительное значение напряжения. 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С</w:t>
      </w:r>
      <w:r>
        <w:t xml:space="preserve"> </w:t>
      </w:r>
      <w:r w:rsidRPr="00AE6B2C">
        <w:t>уменьшением значения</w:t>
      </w:r>
      <w:r w:rsidR="006D597A">
        <w:pict>
          <v:shape id="_x0000_i1032" type="#_x0000_t75" alt="" style="width:41.25pt;height:32.25pt">
            <v:imagedata r:id="rId4" o:title=""/>
          </v:shape>
        </w:pict>
      </w:r>
      <w:r w:rsidRPr="00AE6B2C">
        <w:t xml:space="preserve"> снижается и</w:t>
      </w:r>
      <w:r>
        <w:t xml:space="preserve"> </w:t>
      </w:r>
      <w:r w:rsidRPr="00AE6B2C">
        <w:t xml:space="preserve">сопротивление </w:t>
      </w:r>
      <w:r w:rsidR="006D597A">
        <w:pict>
          <v:shape id="_x0000_i1033" type="#_x0000_t75" alt="" style="width:129.75pt;height:32.25pt">
            <v:imagedata r:id="rId11" o:title=""/>
          </v:shape>
        </w:pict>
      </w:r>
      <w:r w:rsidRPr="00AE6B2C">
        <w:t>. Это в</w:t>
      </w:r>
      <w:r>
        <w:t xml:space="preserve"> </w:t>
      </w:r>
      <w:r w:rsidRPr="00AE6B2C">
        <w:t xml:space="preserve">свою очередь, вызывает [1] непропорциональное снижение тока возбуждения (2) </w:t>
      </w:r>
    </w:p>
    <w:p w:rsidR="00015A78" w:rsidRPr="00AE6B2C" w:rsidRDefault="006D597A" w:rsidP="00015A78">
      <w:pPr>
        <w:spacing w:before="120"/>
        <w:ind w:firstLine="567"/>
        <w:jc w:val="both"/>
      </w:pPr>
      <w:r>
        <w:pict>
          <v:shape id="_x0000_i1034" type="#_x0000_t75" alt="" style="width:615.75pt;height:73.5pt">
            <v:imagedata r:id="rId12" o:title=""/>
          </v:shape>
        </w:pict>
      </w:r>
      <w:r w:rsidR="00015A78" w:rsidRPr="00AE6B2C">
        <w:t>(2)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 xml:space="preserve">где </w:t>
      </w:r>
      <w:r w:rsidR="006D597A">
        <w:pict>
          <v:shape id="_x0000_i1035" type="#_x0000_t75" alt="" style="width:112.5pt;height:43.5pt">
            <v:imagedata r:id="rId13" o:title=""/>
          </v:shape>
        </w:pict>
      </w:r>
      <w:r w:rsidRPr="00AE6B2C">
        <w:t xml:space="preserve">, </w:t>
      </w:r>
      <w:r w:rsidR="006D597A">
        <w:pict>
          <v:shape id="_x0000_i1036" type="#_x0000_t75" alt="" style="width:114.75pt;height:45pt">
            <v:imagedata r:id="rId14" o:title=""/>
          </v:shape>
        </w:pict>
      </w:r>
      <w:r>
        <w:t xml:space="preserve"> </w:t>
      </w:r>
      <w:r w:rsidRPr="00AE6B2C">
        <w:t>— относительные нагрузки статора соответственно по</w:t>
      </w:r>
      <w:r>
        <w:t xml:space="preserve"> </w:t>
      </w:r>
      <w:r w:rsidRPr="00AE6B2C">
        <w:t xml:space="preserve">активной и реактивной мощности; </w:t>
      </w:r>
      <w:r w:rsidR="006D597A">
        <w:pict>
          <v:shape id="_x0000_i1037" type="#_x0000_t75" alt="" style="width:36.75pt;height:27.75pt">
            <v:imagedata r:id="rId15" o:title=""/>
          </v:shape>
        </w:pict>
      </w:r>
      <w:r>
        <w:t xml:space="preserve"> </w:t>
      </w:r>
      <w:r w:rsidRPr="00AE6B2C">
        <w:t>— сопротивление двигателя по</w:t>
      </w:r>
      <w:r>
        <w:t xml:space="preserve"> </w:t>
      </w:r>
      <w:r w:rsidRPr="00AE6B2C">
        <w:t>продоль-ной оси, соответствующее насыщению магнитной цепи при холостом ходе и</w:t>
      </w:r>
      <w:r>
        <w:t xml:space="preserve"> </w:t>
      </w:r>
      <w:r w:rsidRPr="00AE6B2C">
        <w:t>номинальном напряжении статора.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Для синхронных электродвигателей типа СДС-19-56-40, используемых для привода шаровых мельниц (ШМ)</w:t>
      </w:r>
      <w:r>
        <w:t xml:space="preserve"> </w:t>
      </w:r>
      <w:r w:rsidRPr="00AE6B2C">
        <w:t>обогатительных фабрик Норильской гор-ной компании согласно (2), увеличение напряжения на</w:t>
      </w:r>
      <w:r>
        <w:t xml:space="preserve"> </w:t>
      </w:r>
      <w:r w:rsidRPr="00AE6B2C">
        <w:t>10%</w:t>
      </w:r>
      <w:r>
        <w:t xml:space="preserve"> </w:t>
      </w:r>
      <w:r w:rsidRPr="00AE6B2C">
        <w:t>приводит к</w:t>
      </w:r>
      <w:r>
        <w:t xml:space="preserve"> </w:t>
      </w:r>
      <w:r w:rsidRPr="00AE6B2C">
        <w:t>сле-дующей зависимости составляющей индуктивного сопротивления двигателя по</w:t>
      </w:r>
      <w:r>
        <w:t xml:space="preserve"> </w:t>
      </w:r>
      <w:r w:rsidRPr="00AE6B2C">
        <w:t xml:space="preserve">продольной оси полюсов </w:t>
      </w:r>
      <w:r w:rsidR="006D597A">
        <w:pict>
          <v:shape id="_x0000_i1038" type="#_x0000_t75" alt="" style="width:41.25pt;height:32.25pt">
            <v:imagedata r:id="rId4" o:title=""/>
          </v:shape>
        </w:pict>
      </w:r>
      <w:r w:rsidRPr="00AE6B2C">
        <w:t>от</w:t>
      </w:r>
      <w:r>
        <w:t xml:space="preserve"> </w:t>
      </w:r>
      <w:r w:rsidRPr="00AE6B2C">
        <w:t xml:space="preserve">загрузки двигателей активной мощностью </w:t>
      </w:r>
      <w:r w:rsidR="006D597A">
        <w:pict>
          <v:shape id="_x0000_i1039" type="#_x0000_t75" alt="" style="width:32.25pt;height:34.5pt">
            <v:imagedata r:id="rId16" o:title=""/>
          </v:shape>
        </w:pict>
      </w:r>
      <w:r w:rsidRPr="00AE6B2C">
        <w:t xml:space="preserve">[2] </w:t>
      </w:r>
    </w:p>
    <w:p w:rsidR="00015A78" w:rsidRPr="00AE6B2C" w:rsidRDefault="006D597A" w:rsidP="00015A78">
      <w:pPr>
        <w:spacing w:before="120"/>
        <w:ind w:firstLine="567"/>
        <w:jc w:val="both"/>
      </w:pPr>
      <w:r>
        <w:pict>
          <v:shape id="_x0000_i1040" type="#_x0000_t75" alt="" style="width:429.75pt;height:101.25pt">
            <v:imagedata r:id="rId17" o:title=""/>
          </v:shape>
        </w:pic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здесь</w:t>
      </w:r>
      <w:r w:rsidR="006D597A">
        <w:pict>
          <v:shape id="_x0000_i1041" type="#_x0000_t75" alt="" style="width:75.75pt;height:39pt">
            <v:imagedata r:id="rId18" o:title=""/>
          </v:shape>
        </w:pict>
      </w:r>
      <w:r w:rsidRPr="00AE6B2C">
        <w:t xml:space="preserve"> – магнитное напряжение воздушного зазора при напряжении, рав-ном </w:t>
      </w:r>
      <w:r w:rsidR="006D597A">
        <w:pict>
          <v:shape id="_x0000_i1042" type="#_x0000_t75" alt="" style="width:84pt;height:36.75pt">
            <v:imagedata r:id="rId19" o:title=""/>
          </v:shape>
        </w:pict>
      </w:r>
      <w:r w:rsidRPr="00AE6B2C">
        <w:t xml:space="preserve">. 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Тогда при характерной загрузке синхронных двигателей ШМ</w:t>
      </w:r>
      <w:r>
        <w:t xml:space="preserve"> </w:t>
      </w:r>
      <w:r w:rsidRPr="00AE6B2C">
        <w:t>активной мощностью</w:t>
      </w:r>
      <w:r w:rsidR="002B1739">
        <w:pict>
          <v:shape id="_x0000_i1043" type="#_x0000_t75" alt="" style="width:144.75pt;height:34.5pt">
            <v:imagedata r:id="rId20" o:title=""/>
          </v:shape>
        </w:pict>
      </w:r>
      <w:r w:rsidRPr="00AE6B2C">
        <w:t xml:space="preserve"> значения </w:t>
      </w:r>
      <w:r w:rsidR="002B1739">
        <w:pict>
          <v:shape id="_x0000_i1044" type="#_x0000_t75" alt="" style="width:36.75pt;height:27.75pt">
            <v:imagedata r:id="rId15" o:title=""/>
          </v:shape>
        </w:pict>
      </w:r>
      <w:r w:rsidRPr="00AE6B2C">
        <w:t>будут изменяться в</w:t>
      </w:r>
      <w:r>
        <w:t xml:space="preserve"> </w:t>
      </w:r>
      <w:r w:rsidRPr="00AE6B2C">
        <w:t>пределах 0,903÷1,066</w:t>
      </w:r>
      <w:r>
        <w:t xml:space="preserve"> </w:t>
      </w:r>
      <w:r w:rsidRPr="00AE6B2C">
        <w:t xml:space="preserve">(синхронное реактивное сопротивление рассеяния двигателя </w:t>
      </w:r>
      <w:r w:rsidR="002B1739">
        <w:pict>
          <v:shape id="_x0000_i1045" type="#_x0000_t75" alt="" style="width:105.75pt;height:32.25pt">
            <v:imagedata r:id="rId21" o:title=""/>
          </v:shape>
        </w:pict>
      </w:r>
      <w:r w:rsidRPr="00AE6B2C">
        <w:t>определено в</w:t>
      </w:r>
      <w:r>
        <w:t xml:space="preserve"> </w:t>
      </w:r>
      <w:r w:rsidRPr="00AE6B2C">
        <w:t xml:space="preserve">[2]). 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С</w:t>
      </w:r>
      <w:r>
        <w:t xml:space="preserve"> </w:t>
      </w:r>
      <w:r w:rsidRPr="00AE6B2C">
        <w:t>учетом того, что двигатели ШМ</w:t>
      </w:r>
      <w:r>
        <w:t xml:space="preserve"> </w:t>
      </w:r>
      <w:r w:rsidRPr="00AE6B2C">
        <w:t>как источники реактивной мощности практически не используются и</w:t>
      </w:r>
      <w:r>
        <w:t xml:space="preserve"> </w:t>
      </w:r>
      <w:r w:rsidRPr="00AE6B2C">
        <w:t>эксплуатируются с</w:t>
      </w:r>
      <w:r>
        <w:t xml:space="preserve"> </w:t>
      </w:r>
      <w:r w:rsidR="002B1739">
        <w:pict>
          <v:shape id="_x0000_i1046" type="#_x0000_t75" alt="" style="width:144.75pt;height:34.5pt">
            <v:imagedata r:id="rId20" o:title=""/>
          </v:shape>
        </w:pict>
      </w:r>
      <w:r w:rsidRPr="00AE6B2C">
        <w:t>(из-за величины по-терь активной мощности в</w:t>
      </w:r>
      <w:r>
        <w:t xml:space="preserve"> </w:t>
      </w:r>
      <w:r w:rsidRPr="00AE6B2C">
        <w:t>них, превышающей потери на</w:t>
      </w:r>
      <w:r>
        <w:t xml:space="preserve"> </w:t>
      </w:r>
      <w:r w:rsidRPr="00AE6B2C">
        <w:t>передачу той</w:t>
      </w:r>
      <w:r>
        <w:t xml:space="preserve"> </w:t>
      </w:r>
      <w:r w:rsidRPr="00AE6B2C">
        <w:t>же реак-тивной мощности от</w:t>
      </w:r>
      <w:r>
        <w:t xml:space="preserve"> </w:t>
      </w:r>
      <w:r w:rsidRPr="00AE6B2C">
        <w:t>генераторов системы), токи возбуждения, определенные по</w:t>
      </w:r>
      <w:r>
        <w:t xml:space="preserve"> </w:t>
      </w:r>
      <w:r w:rsidRPr="00AE6B2C">
        <w:t>(2)</w:t>
      </w:r>
      <w:r>
        <w:t xml:space="preserve"> </w:t>
      </w:r>
      <w:r w:rsidRPr="00AE6B2C">
        <w:t>необходимо поддерживать в</w:t>
      </w:r>
      <w:r>
        <w:t xml:space="preserve"> </w:t>
      </w:r>
      <w:r w:rsidRPr="00AE6B2C">
        <w:t>пределах 0,878÷0,923</w:t>
      </w:r>
      <w:r>
        <w:t xml:space="preserve"> </w:t>
      </w:r>
      <w:r w:rsidRPr="00AE6B2C">
        <w:t>от</w:t>
      </w:r>
      <w:r>
        <w:t xml:space="preserve"> </w:t>
      </w:r>
      <w:r w:rsidRPr="00AE6B2C">
        <w:t xml:space="preserve">номинального значения. 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При работе синхронных двигателей ШМ</w:t>
      </w:r>
      <w:r>
        <w:t xml:space="preserve"> </w:t>
      </w:r>
      <w:r w:rsidRPr="00AE6B2C">
        <w:t>с</w:t>
      </w:r>
      <w:r>
        <w:t xml:space="preserve"> </w:t>
      </w:r>
      <w:r w:rsidRPr="00AE6B2C">
        <w:t>номинальным напряжением на</w:t>
      </w:r>
      <w:r>
        <w:t xml:space="preserve"> </w:t>
      </w:r>
      <w:r w:rsidRPr="00AE6B2C">
        <w:t>зажимах и</w:t>
      </w:r>
      <w:r>
        <w:t xml:space="preserve"> </w:t>
      </w:r>
      <w:r w:rsidRPr="00AE6B2C">
        <w:t>той</w:t>
      </w:r>
      <w:r>
        <w:t xml:space="preserve"> </w:t>
      </w:r>
      <w:r w:rsidRPr="00AE6B2C">
        <w:t>же характерной загрузке активной мощностью значения сопротивления</w:t>
      </w:r>
      <w:r w:rsidR="002B1739">
        <w:pict>
          <v:shape id="_x0000_i1047" type="#_x0000_t75" alt="" style="width:36.75pt;height:27.75pt">
            <v:imagedata r:id="rId15" o:title=""/>
          </v:shape>
        </w:pict>
      </w:r>
      <w:r w:rsidRPr="00AE6B2C">
        <w:t xml:space="preserve"> будут находиться в</w:t>
      </w:r>
      <w:r>
        <w:t xml:space="preserve"> </w:t>
      </w:r>
      <w:r w:rsidRPr="00AE6B2C">
        <w:t>пределах 0,979÷1,159</w:t>
      </w:r>
      <w:r>
        <w:t xml:space="preserve"> </w:t>
      </w:r>
      <w:r w:rsidRPr="00AE6B2C">
        <w:t>, т.е. будут отличаться от</w:t>
      </w:r>
      <w:r>
        <w:t xml:space="preserve"> </w:t>
      </w:r>
      <w:r w:rsidRPr="00AE6B2C">
        <w:t>определенных ранее примерно на</w:t>
      </w:r>
      <w:r>
        <w:t xml:space="preserve"> </w:t>
      </w:r>
      <w:r w:rsidRPr="00AE6B2C">
        <w:t>10%. Ток возбуждения при этом необходимо поддерживать примерно равными 0,489÷0,917</w:t>
      </w:r>
      <w:r>
        <w:t xml:space="preserve"> </w:t>
      </w:r>
      <w:r w:rsidRPr="00AE6B2C">
        <w:t xml:space="preserve">– номинального значения. 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 xml:space="preserve">Таким образом, при загрузке двигателей активной мощностью </w:t>
      </w:r>
      <w:r w:rsidR="002B1739">
        <w:pict>
          <v:shape id="_x0000_i1048" type="#_x0000_t75" alt="" style="width:80.25pt;height:34.5pt">
            <v:imagedata r:id="rId22" o:title=""/>
          </v:shape>
        </w:pict>
      </w:r>
      <w:r w:rsidRPr="00AE6B2C">
        <w:t xml:space="preserve">погрешность расчета тока возбуждения без учета превышения напряжения пи-тающей сети составляет более 40%. </w:t>
      </w:r>
    </w:p>
    <w:p w:rsidR="00015A78" w:rsidRPr="006131C6" w:rsidRDefault="00015A78" w:rsidP="00015A78">
      <w:pPr>
        <w:spacing w:before="120"/>
        <w:jc w:val="center"/>
        <w:rPr>
          <w:b/>
          <w:bCs/>
          <w:sz w:val="28"/>
          <w:szCs w:val="28"/>
        </w:rPr>
      </w:pPr>
      <w:r w:rsidRPr="006131C6">
        <w:rPr>
          <w:b/>
          <w:bCs/>
          <w:sz w:val="28"/>
          <w:szCs w:val="28"/>
        </w:rPr>
        <w:t>Список литературы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1.</w:t>
      </w:r>
      <w:r>
        <w:t xml:space="preserve"> </w:t>
      </w:r>
      <w:r w:rsidRPr="00AE6B2C">
        <w:t>Сыромятников И.</w:t>
      </w:r>
      <w:r>
        <w:t xml:space="preserve"> </w:t>
      </w:r>
      <w:r w:rsidRPr="00AE6B2C">
        <w:t>А.</w:t>
      </w:r>
      <w:r>
        <w:t xml:space="preserve"> </w:t>
      </w:r>
      <w:r w:rsidRPr="00AE6B2C">
        <w:t>Режимы работы асинхронных и</w:t>
      </w:r>
      <w:r>
        <w:t xml:space="preserve"> </w:t>
      </w:r>
      <w:r w:rsidRPr="00AE6B2C">
        <w:t>синхронных двигателей // Под ред. Л.</w:t>
      </w:r>
      <w:r>
        <w:t xml:space="preserve"> </w:t>
      </w:r>
      <w:r w:rsidRPr="00AE6B2C">
        <w:t>Г.</w:t>
      </w:r>
      <w:r>
        <w:t xml:space="preserve"> </w:t>
      </w:r>
      <w:r w:rsidRPr="00AE6B2C">
        <w:t>Мамиконянца. 4-е изд., перераб. и</w:t>
      </w:r>
      <w:r>
        <w:t xml:space="preserve"> </w:t>
      </w:r>
      <w:r w:rsidRPr="00AE6B2C">
        <w:t>доп. М.: Энергоатомиздат, 1984.</w:t>
      </w:r>
    </w:p>
    <w:p w:rsidR="00015A78" w:rsidRPr="00AE6B2C" w:rsidRDefault="00015A78" w:rsidP="00015A78">
      <w:pPr>
        <w:spacing w:before="120"/>
        <w:ind w:firstLine="567"/>
        <w:jc w:val="both"/>
      </w:pPr>
      <w:r w:rsidRPr="00AE6B2C">
        <w:t>2.</w:t>
      </w:r>
      <w:r>
        <w:t xml:space="preserve"> </w:t>
      </w:r>
      <w:r w:rsidRPr="00AE6B2C">
        <w:t>Кирилина О.</w:t>
      </w:r>
      <w:r>
        <w:t xml:space="preserve"> </w:t>
      </w:r>
      <w:r w:rsidRPr="00AE6B2C">
        <w:t>И.</w:t>
      </w:r>
      <w:r>
        <w:t xml:space="preserve"> </w:t>
      </w:r>
      <w:r w:rsidRPr="00AE6B2C">
        <w:t>Определение параметров синхронных двигателей // Промышленная энергетика. 2003. №</w:t>
      </w:r>
      <w:r>
        <w:t xml:space="preserve"> </w:t>
      </w:r>
      <w:r w:rsidRPr="00AE6B2C">
        <w:t>1.</w:t>
      </w:r>
      <w:r>
        <w:t xml:space="preserve"> </w:t>
      </w:r>
      <w:r w:rsidRPr="00AE6B2C">
        <w:t>C.</w:t>
      </w:r>
      <w:r>
        <w:t xml:space="preserve"> </w:t>
      </w:r>
      <w:r w:rsidRPr="00AE6B2C">
        <w:t>27–31.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A78"/>
    <w:rsid w:val="00015A78"/>
    <w:rsid w:val="00051FB8"/>
    <w:rsid w:val="00095BA6"/>
    <w:rsid w:val="00210DB3"/>
    <w:rsid w:val="002B1739"/>
    <w:rsid w:val="0031418A"/>
    <w:rsid w:val="00350B15"/>
    <w:rsid w:val="00377A3D"/>
    <w:rsid w:val="0052086C"/>
    <w:rsid w:val="005A2562"/>
    <w:rsid w:val="006131C6"/>
    <w:rsid w:val="006D597A"/>
    <w:rsid w:val="00755964"/>
    <w:rsid w:val="008C19D7"/>
    <w:rsid w:val="00A44D32"/>
    <w:rsid w:val="00AE6B2C"/>
    <w:rsid w:val="00E12572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8690A756-66DB-4EDC-B9BA-6336B4C8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7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5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Моделирование синхронных электродвигателей с учетом изменения уровня напряжения питающей сети</vt:lpstr>
    </vt:vector>
  </TitlesOfParts>
  <Company>Home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синхронных электродвигателей с учетом изменения уровня напряжения питающей сети</dc:title>
  <dc:subject/>
  <dc:creator>Alena</dc:creator>
  <cp:keywords/>
  <dc:description/>
  <cp:lastModifiedBy>Irina</cp:lastModifiedBy>
  <cp:revision>2</cp:revision>
  <dcterms:created xsi:type="dcterms:W3CDTF">2014-09-29T16:01:00Z</dcterms:created>
  <dcterms:modified xsi:type="dcterms:W3CDTF">2014-09-29T16:01:00Z</dcterms:modified>
</cp:coreProperties>
</file>