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3D" w:rsidRPr="008E57F0" w:rsidRDefault="00D33D3D" w:rsidP="00D33D3D">
      <w:pPr>
        <w:spacing w:before="120"/>
        <w:jc w:val="center"/>
        <w:rPr>
          <w:b/>
          <w:bCs/>
          <w:sz w:val="32"/>
          <w:szCs w:val="32"/>
        </w:rPr>
      </w:pPr>
      <w:r w:rsidRPr="008E57F0">
        <w:rPr>
          <w:b/>
          <w:bCs/>
          <w:sz w:val="32"/>
          <w:szCs w:val="32"/>
        </w:rPr>
        <w:t>Московское градостроительство.XXI век</w:t>
      </w:r>
    </w:p>
    <w:p w:rsidR="00D33D3D" w:rsidRPr="00D33D3D" w:rsidRDefault="00D33D3D" w:rsidP="00D33D3D">
      <w:pPr>
        <w:spacing w:before="120"/>
        <w:jc w:val="center"/>
        <w:rPr>
          <w:sz w:val="28"/>
          <w:szCs w:val="28"/>
        </w:rPr>
      </w:pPr>
      <w:r w:rsidRPr="00D33D3D">
        <w:rPr>
          <w:sz w:val="28"/>
          <w:szCs w:val="28"/>
        </w:rPr>
        <w:t xml:space="preserve">В.И.Ресин, академик РААСН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числе самых насущных проблем, стоящих ныне перед человечеством, – обустройство городов. Наша страна накопила огромный опыт планируемого и управляемого расселения людей на территориях с самыми разнообразными климатическими, этническими, культурно-историческими и геополитическими условиями. Что возьмем мы из века уходящего в век грядущий? Какие тенденции реализуем?</w:t>
      </w:r>
      <w:r>
        <w:t xml:space="preserve"> </w:t>
      </w:r>
    </w:p>
    <w:p w:rsidR="00D33D3D" w:rsidRDefault="00D33D3D" w:rsidP="00D33D3D">
      <w:pPr>
        <w:spacing w:before="120"/>
        <w:ind w:firstLine="567"/>
        <w:jc w:val="both"/>
      </w:pPr>
      <w:r w:rsidRPr="00B36C83">
        <w:t>Какие уроки из прошлого опыта градостроительства – отечественного и зарубежного – нами извлечены, а какие только предстоит извлечь? Какие прогнозы мы сделаем? Эти вопросы обсуждались на сессии Общего собрания Российской академии архитектуры и строительных наук (РААСН) 20-22 апреля 2000 года в Санкт-Петербурге, где были определены основные принципы градостроительного развития России. На нынешней сессии мы будем говорить о путях их реализации.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Нынешняя ситуация становится стартовой для осуществления новой градостроительной стратегии, которая предполагает взаимосвязанные переходы: от политики сдерживания – к политике развития; от жесткого функционального размежевания – к интегрированной планировочной структуре; от практики массированного освоения свободных земель на окраинах – к инвестиционно-строительной активности на всей территории; от внешней экспансии – к реконструкции города в пределах освоенных территорий и сохранению пригородных природных ландшафтов; от пассивного учета – к интенсивной и продуманной реставрации памятников культуры и архитектуры, к технической и функциональной модернизации зданий и сооружений; от механического сокращения количества загрязнений – к комплексному оздоровлению городской среды; от монополии немногих строительных систем – к плодотворному сосуществованию различных типов технологий строительства; от ориентации на потребление – к внедрению энергосберегающих технологий, конструкций, материалов и так далее.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Новый Генеральный план развития Москвы на период до 2020 года наглядно демонстрирует качественно новый подход к градостроительной политике крупнейшей столицы мира. В качестве главной двуединой цели здесь выступает повышение качества среды жизнедеятельности горожан и обеспечение устойчивости развития города. Основу градостроительной стратегии составляет переход от экстенсивного территориального роста к качественному преобразованию как отраслевой, так и территориальной структуры Москвы в ходе реформирования экономической базы и комплексной реконструкции районов сложившейся застройки. Императив всех соответствующих предложений – активное улучшение экологического состояния и бережное сохранение природного комплекса и историко-культурного наследия.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ходе функциональной ротации городских территорий планируется существенное сокращение производственных зон, увеличение доли общественных и природных пространств и определяющее развитие транспортной и инженерной инфраструктуры. Качественное преобразование городской застройки направлено на возвращение ей человеческого масштаба, максимальное сохранение ее индивидуальности, своеобразия, эстетической ценности.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Принципиально изменился характер планирования, формирующегося теперь как непрерывный цикл градостроительного мониторинга территорий. В этом отношении Генеральный план представляет собой документ не директивного, а регулятивного характера, координирующий государственные, общественные и частные интересы независимых участников градостроительной деятельности в рамках единой общегородской стратегии. Регулятивное ядро градостроительного планирования составляет градостроительное зонирование территорий, укрупненно, но параметрически четко определяющее рамочные условия использования городских земель. Качественно новым стал и статус материалов Генерального плана, закрепляемый Законом города Москвы. Стратегию Генерального плана детализируют Градостроительные планы развития отдельных округов и районов Москвы, что позволяет каждому уровню территориального управления внести свой вклад в формирование облика столицы в XXI веке.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Одно из важнейших направлений перспективного градостроительного развития Москвы – создание нового жилищного фонда. В целом новая жилищная политика предусматривает комплексность жилой застройки, гуманизацию жилой среды, дифференциацию жилья по качеству – в соответствии с местоположением и покупательной способностью населения. Основа здесь – поэтапное совершенствование пространственной структуры жилых образований – со всеми необходимыми объектами обслуживания в пешеходной доступности, с возвращением утраченного человеческого масштаба дворов, традиционной периметральной застройки улиц и переулков, включающей элементы природной среды. При этом имеется в виду решение социальных, экономических и эстетических проблем, а именно:– удовлетворение потребности в современном комфортабельном жилище различных социальных групп населения;– обеспечение жителей необходимыми видами социально-культурного и бытового обслуживания, включая школы, детские учреждения, поликлиники и прочее;– обеспечение не только функциональных удобств, прочности и надежности, но и высоких архитектурно-эстетических характеристик жилых зданий и объектов обслуживания;– максимальное использование мощностей строительного комплекса Москвы при постоянном обновлении базы стройиндустрии.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Существенные изменения происходят в принципах размещения новых объемов массового жилищного строительства. Если раньше это происходило на вновь осваиваемых территориях, которых становилось все меньше, а освоение их дорожало, то в ближайшей перспективе предусматривается активное наращивание нового строительства и санации существующих зданий на уже сформировавшихся в градостроительном отношении территориях, в том числе значительное увеличение объемов сноса и реконструкции прежде всего пятиэтажных жилых домов с комплексной реконструкцией всей социально-бытовой инфраструктуры этих районов и кварталов. Для реализации этого мы прежде всего изменили многое в нормативной базе – как в градостроительной, так и в конкретных нормах на жилые здания и объекты обслуживания.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соответствии с намеченной жилищной политикой меняется и подход к развитию массового индустриального строительства, без чего невозможно осуществить огромные объемы, определенные программами и планами. В сжатые сроки проделана большая и сложная работа по совершенствованию и модернизации действующих и внедрению новых серий жилых домов для массового строительства. В настоящее время практически все домостроительные комбинаты переведены на выпуск разработанных МНИИТЭПом новых модернизированных серий П 44Т, П 44М, П 3М, Пд 4, П 46М разной этажности на основе блок-секций, из которых можно компоновать любые композиции. Строятся разноэтажные панельные дома системы "Бекерон" с застекленными лоджиями, обновлена серия 111 панельных домов домостроительных организаций МО РФ, в разработке которой активно участвовали ЦНИИЭП жилища и Проектный институт № 53 Министерства обороны РФ. Следует отметить, что новый качественный скачок в развитии массового домостроения был достигнут без коренной перестройки производственной базы – за счет прогрессивных, рациональных проектных решений, совершенствования организационно-технических методов производства, современных экономичных методов строительства.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Возводящиеся в настоящее время новые серии жилых домов отличаются более разнообразным квартирным составом, большей архитектурно-планировочной и инженерной комфортностью, большей возможностью для градостроительного маневра в отношении этажности, позволяющего повышать плотность застройки и экономить городскую территорию. В первых этажах жилых домов предусматривается устройство вестибюльных групп с комнатами для работников охраны подъездов, местами хранения колясок, велосипедов, другими помещениями обслуживания.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домах новых и модернизированных серий значительно улучшилась планировка квартир: очертания комнат приблизились к квадрату, появились 10–12-метровые кухни с застекленными лоджиями, удобные и просторные передние, холлы, гостиные, ванные с санузлом при спальне, гостевые туалеты, кладовые. Во всех домах независимо от этажности теперь устанавливаются грузопассажирские лифты для подъема мебели, холодильников, а также больных на носилках и инвалидов-колясочников, для которых предусматривается удобный доступ в подъезды к лифтовым подъемникам.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новых сериях домов, предназначенных для коммерческой продажи, в дополнение к существующим шагам внутренних стен 3 и 3,6 м введен шаг 4,2 м, позволяющий получить более просторные помещения. Расширенный состав блок-секций дает удобство и разнообразие планировки квартир с функциональным зонированием. Сейчас МНИИТЭПом совместно с ДСК-1 разработан и построен экспериментальный жилой дом, где введен шаг 7,2 метра – с целью обеспечить свободную планировку квартир.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подъездах всех домов в обязательном порядке должны устанавливаться металлические входные двери, оснащенные домофонной связью с квартирами и дежурными диспетчерской службы. Все это направлено на повышение безопасности проживания и поддержание чистоты и порядка в зданиях.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Жилье стало теплее. Все комбинаты переведены на выпуск ограждающих трехслойных конструкций (проекты МНИИТЭПа, Моспроекта, ЦНИИЭП жилища), соответствующих международным требованиям энергосбережения. В целях экономии средств и энергоресурсов в квартирах предусмотрено: установка новых типов оконных стеклопакетов, терморегуляторов в системах отопления, двухтарифных электросчетчиков (для дня и ночи), приборов учета расхода холодной и горячей воды, систем кратковременного освещения мест общего пользования, а также устройство автономных котельных на один-два дома. По подсчетам специалистов, в результате экономия энергоресурсов составит 25–30%, что соответственно уменьшит размеры платы за отопление.</w:t>
      </w:r>
    </w:p>
    <w:p w:rsidR="00D33D3D" w:rsidRPr="00B36C83" w:rsidRDefault="00D33D3D" w:rsidP="00D33D3D">
      <w:pPr>
        <w:spacing w:before="120"/>
        <w:ind w:firstLine="567"/>
        <w:jc w:val="both"/>
      </w:pPr>
      <w:r>
        <w:t xml:space="preserve"> </w:t>
      </w:r>
      <w:r w:rsidRPr="00B36C83">
        <w:t>Кардинально изменилась архитектура жилых и общественных зданий. На фасадах жилых домов, кроме балконов и лоджий, появились эркеры, мансардные этажи, разнообразная отделка. Вместо пристраиваемых вестибюлей и подъездов разрабатываются полностью встроенные в первый этаж. К настоящему времени уже типовые проекты массовых серий включают остекление балконов и лоджий. Более выразительной стала архитектура зданий школ и дошкольных учреждений.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Основная стратегическая задача – переход от типового к адресному проектированию и строительству. Эта работа уже организована и ведется как в крупных новых жилых районах, так и в коммерческих жилых образованиях. Построены и строятся уникальные массивы-кондоминиумы: "Золотые ключи" на Минской улице, "Синяя птица" в Южном Бутове, крупные жилые комплексы на Зоологической улице и на Рубцовской набережной и другие. При возведении указанных объектов в ряде случаев использовалась типовая продукция домостроительных комбинатов, но при этом все здания по своим архитектурным решениям абсолютно индивидуальны. Необходимое условие – индивидуальность и комплексность жилой застройки: различные типы квартир, объектов обслуживания населения, благоустройства – всего, что необходимо для создания полноценной, конкурентоспособной на рынке жилья среды обитания.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Проектно-строительным комплексом города ведется активная работа по внедрению в строительство жилья и объектов соцкультбыта сборно-монолитных и других смешанных конструктивных систем, что раньше крайне ограничивалось фетишизацией крупнопанельного домостроения. Достоинства сборно-монолитных домов сегодня уже хорошо известны проектировщикам и потребителям. Благодаря своим широким архитектурно-планировочным возможностям эти дома все активнее и весьма эффектно заполняют акцентные участки города. В качестве примера назовем разработанные по проектам институтов МНИИТЭП, Моспроект, ЦНИИЭП жилища, ЗАО "Тема" и других сборно-монолитные многоэтажные жилые дома на Каширском шоссе, в жилом районе "Марьинский парк", в Братееве, на улице Лобачевского, в детской Олимпийской деревне на улице Удальцова; жилые дома системы "Призма" (Северное Бутово, Мичуринский проспект), в которых внутренние конструкции монолитные, а наружные стены – кирпичные; жилые комплексы "Синяя птица" в Северном Бутове и "Золотые ключи" на Минской улице, жилой комплекс "Газпрома" на улице Наметкина из монолитного железобетона и другие.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В настоящее время разрабатываются новые проекты высотных домов и жилых комплексов. В работе вместе с проектными организациями активно участвуют Управление реконструкции и развития уникальных объектов.</w:t>
      </w:r>
      <w:r>
        <w:t xml:space="preserve"> 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Еще одна из важнейших задач – создание новых типов энергоэкономичных и экологически чистых многоэтажных жилых зданий. Такая работа ведется совместно с РААСН и ведущими институтами Москвы и России. Главные аспекты работы: подготовка рациональных объемно-планировочных решений; обеспечение строительства ограждающими конструкциями, отвечающими современным требованиям энергосбережения: на ближайшую перспективу – панельными с эффективными утеплителями, теплоотражающими пленками, вентилируемыми воздушными зазорами и тому подобное, на последующий период – всевозможными комбинированными системами стен из мелкоштучных материалов, небетонных панелей и тому подобное; применение новых видов инженерного оборудования (приточно-вытяжная принудительная вентиляция, кондиционирование, двухтрубные системы водяного отопления с поквартирным учетом, воздушное отопление с заданием требуемых параметров и тому подобное); использование возобновляемых источников энергии (тепловые насосы, генераторы солнечной энергии) и рекуперация тепла. Значительное место уделяется внедрению экологически чистых и долговечных материалов и изделий (композитные материалы на основе графита, базальта и тому подобное).</w:t>
      </w:r>
    </w:p>
    <w:p w:rsidR="00D33D3D" w:rsidRPr="00B36C83" w:rsidRDefault="00D33D3D" w:rsidP="00D33D3D">
      <w:pPr>
        <w:spacing w:before="120"/>
        <w:ind w:firstLine="567"/>
        <w:jc w:val="both"/>
      </w:pPr>
      <w:r w:rsidRPr="00B36C83">
        <w:t>Следует отметить в заключение, что в проекты закладываются строительные и отделочные материалы и изделия, а также инженерное оборудование отечественных, в том числе и московских, производителей.</w:t>
      </w:r>
      <w:r>
        <w:t xml:space="preserve"> </w:t>
      </w:r>
    </w:p>
    <w:p w:rsidR="00D33D3D" w:rsidRDefault="00D33D3D" w:rsidP="00D33D3D">
      <w:pPr>
        <w:spacing w:before="120"/>
        <w:ind w:firstLine="567"/>
        <w:jc w:val="both"/>
      </w:pPr>
      <w:r w:rsidRPr="00B36C83">
        <w:t>В заключение хотелось бы выразить уверенность в том, что весьма непростые задачи, стоящие перед градостроителями в XXI веке, мы сумеем решить в полном объеме и на высоком профессиональном уровне. Для этого у нас есть все: научно-техническая база, опыт, знания, а главное – стремление сделать среду обитания человека комфортной, гуманной, насыщенной всей необходимой для жизни инфраструктурой. Думаю, что именно этому, в конечном итоге, и посвящена нынешняя сессия РААСН.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D3D"/>
    <w:rsid w:val="00095BA6"/>
    <w:rsid w:val="0031418A"/>
    <w:rsid w:val="005A2562"/>
    <w:rsid w:val="007D680B"/>
    <w:rsid w:val="008E57F0"/>
    <w:rsid w:val="00A44D32"/>
    <w:rsid w:val="00B01202"/>
    <w:rsid w:val="00B36C83"/>
    <w:rsid w:val="00D33D3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3979B7-3202-4A9F-8C9A-94266A40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3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2113</Words>
  <Characters>12048</Characters>
  <Application>Microsoft Office Word</Application>
  <DocSecurity>0</DocSecurity>
  <Lines>100</Lines>
  <Paragraphs>28</Paragraphs>
  <ScaleCrop>false</ScaleCrop>
  <Company>Home</Company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градостроительство</dc:title>
  <dc:subject/>
  <dc:creator>Alena</dc:creator>
  <cp:keywords/>
  <dc:description/>
  <cp:lastModifiedBy>admin</cp:lastModifiedBy>
  <cp:revision>2</cp:revision>
  <dcterms:created xsi:type="dcterms:W3CDTF">2014-02-18T05:53:00Z</dcterms:created>
  <dcterms:modified xsi:type="dcterms:W3CDTF">2014-02-18T05:53:00Z</dcterms:modified>
</cp:coreProperties>
</file>