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58F" w:rsidRPr="00F420FD" w:rsidRDefault="0080658F" w:rsidP="0080658F">
      <w:pPr>
        <w:spacing w:before="120"/>
        <w:jc w:val="center"/>
        <w:rPr>
          <w:b/>
          <w:bCs/>
          <w:sz w:val="32"/>
          <w:szCs w:val="32"/>
        </w:rPr>
      </w:pPr>
      <w:r w:rsidRPr="00F420FD">
        <w:rPr>
          <w:b/>
          <w:bCs/>
          <w:sz w:val="32"/>
          <w:szCs w:val="32"/>
        </w:rPr>
        <w:t>Мотивационные предпочтения абитуриентов и студентов.</w:t>
      </w:r>
    </w:p>
    <w:p w:rsidR="0080658F" w:rsidRPr="00F420FD" w:rsidRDefault="0080658F" w:rsidP="0080658F">
      <w:pPr>
        <w:spacing w:before="120"/>
        <w:jc w:val="center"/>
        <w:rPr>
          <w:sz w:val="28"/>
          <w:szCs w:val="28"/>
        </w:rPr>
      </w:pPr>
      <w:r w:rsidRPr="00F420FD">
        <w:rPr>
          <w:sz w:val="28"/>
          <w:szCs w:val="28"/>
        </w:rPr>
        <w:t xml:space="preserve">Виштак Ольга Васильевна – кандидат технических наук, доцент Балаклавского института техники, технологии и управления Саратовского государственного технического университета. </w:t>
      </w:r>
    </w:p>
    <w:p w:rsidR="0080658F" w:rsidRPr="00AF2EB2" w:rsidRDefault="0080658F" w:rsidP="0080658F">
      <w:pPr>
        <w:spacing w:before="120"/>
        <w:ind w:firstLine="567"/>
        <w:jc w:val="both"/>
      </w:pPr>
      <w:r w:rsidRPr="00AF2EB2">
        <w:t xml:space="preserve">Высшая школа решает важнейшую задачу – формирует личности будущих специалистов, усваивающих за годы учебы знания, умения и навыки, обозначенные в государственном образовательном стандарте соответствующей специальности. Для решения этой задачи свидетельствует опыт. Необходимо, чтобы кафедры имели ясное представление о мотивах поступления в вуз абитуриентов, уровне их общеобразовательной подготовки, степени сформированности умений и навыков самостоятельной работы, характере интересов, увлечений, способностях, особенностях характера, состоянии здоровья – в общем о соответствии их требованиям будущей профессии [1, с.322]. В данной статье хотелось бы поделиться опытом исследований структуры мотивации студентов, который накоплен кафедрой "Управление и информатика в технических системах" (УИТ) Балаковского института техники, технологии и управления Саратовского государственного технического университета (БИТТУ СГТУ). Такие исследований проводятся здесь с 1999 г. Выбор вуза молодыми людьми – это профессиональное самоопределение, признание определенного образа жизни, важнейший этап, во многом определяющий их будущую судьбу. Анализ информационных показателей мотивации поступления в вуз, выбора специальности позволяет получить ответы на вопросы "кто пришел?", "почему в этот вуз?", "зачем пришел?", "с какой целью?". Изучение проводится методом анкетирования. Результаты ежегодно заносятся в базу данных подсистемы "Диагностика" информационно-управляющей системы кафедры УИТ. </w:t>
      </w:r>
    </w:p>
    <w:p w:rsidR="0080658F" w:rsidRPr="00AF2EB2" w:rsidRDefault="0080658F" w:rsidP="0080658F">
      <w:pPr>
        <w:spacing w:before="120"/>
        <w:ind w:firstLine="567"/>
        <w:jc w:val="both"/>
      </w:pPr>
      <w:r w:rsidRPr="00AF2EB2">
        <w:t xml:space="preserve">Наша кафедра, как и специальность УИТ, является относительно "молодой" в БИТТУ СГТУ: подготовка инженеров по управлению техническими системами ведется всего 10 лет. Информатизация современного производства способствует востребованности выпускников кафедры УИТ на предприятиях города, региона, что в свою очередь подтверждается достаточно высоким конкурсом: 4-6 абитуриентов на одно госбюджетные место. Состав первокурсников специальности УИТ достаточно стабилен: в 1999 г. – юношей – 65%, девушек – 35%; в 2000 г. соответственно: 76 и 24%; в 2001 г. – 72 и 28%. Хотя специальность УИТ считается "мужской" и "учиться трудно", девушки стремятся получить профессиональные знания в области информационных технологий и ежегодно достаточно успешно пробуют свои силы на вступительных экзаменах и собеседованиях. </w:t>
      </w:r>
    </w:p>
    <w:p w:rsidR="0080658F" w:rsidRPr="00AF2EB2" w:rsidRDefault="0080658F" w:rsidP="0080658F">
      <w:pPr>
        <w:spacing w:before="120"/>
        <w:ind w:firstLine="567"/>
        <w:jc w:val="both"/>
      </w:pPr>
      <w:r w:rsidRPr="00AF2EB2">
        <w:t xml:space="preserve">Большинство овладевающих специальностью УИТ платят за обучение. Родители же помогают решать и личные финансовые проблемы студентов (свыше 70% опрошенных), понимая, что дополнительная работа помимо учебной деятельности займет много времени и негативно, особенно на первом курсе, отразится на результатах учебы их детей. Просматривается тенденция “случайных заработков”: первокурсники понимают, что иметь постоянную работу не реально в силу занятости учебной деятельностью, но и находится на иждивении родителей им уже неловко, поэтому они начинают пробовать свои силы в решении личных финансовых проблем (1999 г. – 6% респондентов; 2000 г. – 14%; 2001 – 16%). </w:t>
      </w:r>
    </w:p>
    <w:p w:rsidR="0080658F" w:rsidRPr="00AF2EB2" w:rsidRDefault="0080658F" w:rsidP="0080658F">
      <w:pPr>
        <w:spacing w:before="120"/>
        <w:ind w:firstLine="567"/>
        <w:jc w:val="both"/>
      </w:pPr>
      <w:r w:rsidRPr="00AF2EB2">
        <w:t xml:space="preserve">По возрастному составу на протяжении последних лет преобладают выпускники школ: 1999г. – 96%; 2000г. – 98%; 2001г. – 97%. Причем, решение продолжить обучение в вузе они приняли еще в школе. Подготовка к вступительным экзаменам проводилась заранее. Многие ребята готовились самостоятельно, но и влияние на подготовку абитуриентов со стороны вуза достаточно стабильно. Ежегодно порядка 25% выпускников готовятся к вступительным экзаменам в вуз через систему подготовительных курсов, что позволяет уже на стадии подготовки в вуз оказывать влияние на уровень их знаний, помогать адаптироваться к вузовской системе обучения. </w:t>
      </w:r>
    </w:p>
    <w:p w:rsidR="0080658F" w:rsidRPr="00AF2EB2" w:rsidRDefault="0080658F" w:rsidP="0080658F">
      <w:pPr>
        <w:spacing w:before="120"/>
        <w:ind w:firstLine="567"/>
        <w:jc w:val="both"/>
      </w:pPr>
      <w:r w:rsidRPr="00AF2EB2">
        <w:t xml:space="preserve">Коллектив кафедры убедился в необходимости проведения целенаправленной профориентационной работы среди выпускников. Для этого и была создана информационная база, позволяющая отслеживать в динамике происходящие изменения на рынке образовательных услуг. Собраны и проанализированы в динамике ответы на такие вопросы: “Кто рассказал о вузе и специальности?”, “Кто и что повлияло на выбор вуза и специальности?”, отобраны наиболее эффективные источники информации о вузе и специальности, выявлены факторы, влияющие на выбор вуза и специальности. Что касается этих факторов, то проф. А.Вербицкий условно разделил их на две большие группы: “внешние по отношению к вузу и внутренние, обусловленные характером организации самого образовательного процесса” [2, с.100]. К внешним факторам отнесены социально-экономическая значимость данной профессии в обществе, профессиональное будущее: гарантии занятости, стабильности, высокооплачиваемой работы; условия работы; престижности. Влияние со стороны вуза на эти факторы практически никакого, так как на них в большей степени влияют социально-экономическая ситуация в стране, особенности развития региона. Но через систему профессиональной ориентации, организованную с учетом особенностей развития региона, с учетом результатов анализа мотивационной направленности получения образования молодежью, вуз все же может оказывать опосредованное влияние на эти факторы. </w:t>
      </w:r>
    </w:p>
    <w:p w:rsidR="0080658F" w:rsidRPr="00AF2EB2" w:rsidRDefault="0080658F" w:rsidP="0080658F">
      <w:pPr>
        <w:spacing w:before="120"/>
        <w:ind w:firstLine="567"/>
        <w:jc w:val="both"/>
      </w:pPr>
      <w:r w:rsidRPr="00AF2EB2">
        <w:t xml:space="preserve">Как показал анализ результатов исследований, первокурсники основным источником информации о вузе и специальности считают родителей (около 40% опрошенных) и друзей. И хотя подавляющее большинство их отметили, что они самостоятельно осуществили выбор вуза и специальности, мы считаем, что мнение “семейного совета” было определяющим. К сожалению, влияния учителей на самоопределение будущих студентов практически не прослеживается. Особо следует отметить нереализованные возможности вузов по организации профессиональной ориентации среди молодёжи. Почему бы, например, принимая во внимание, что наиболее эффективный источник информации, по мнению респондентов, – телевидение, не организовывать на местном телеканале цикл передач о вузе, специальности, подготовить рекламные клипы и т.п. Так же можно шире использовать большие потенциальные возможности выпускающих кафедр в организации “Дня открытых дверей”. Чёткая и эффективная работа по подготовке и проведению этого мероприятия может стать наиболее эффективным средством профориентации и привлечение лучших выпускников школ в стены вуза. Например, в 2001г. в БИТТУ СГТУ на “День открытых дверей” были приглашены все выпускники школ города и района, состоялись встречи с ведущими преподавателями кафедр, раздавались информационные буклеты о вузе. Мероприятие отмечено первокурсниками: 36% респондентов наиболее эффективным источником информации о вузе и специальности назвали “День открытых дверей”. Таким образом, хотя выбор вуза и специальности во многом определяется субъективными знаниями тех, кто является источником информации, кафедра, анализируя результаты своих исследований, может более эффективно планировать и организовать деятельность по профессиональной ориентации и профессиональному отбору будущих студентов из числа лучших выпускников школ. </w:t>
      </w:r>
    </w:p>
    <w:p w:rsidR="0080658F" w:rsidRPr="00AF2EB2" w:rsidRDefault="0080658F" w:rsidP="0080658F">
      <w:pPr>
        <w:spacing w:before="120"/>
        <w:ind w:firstLine="567"/>
        <w:jc w:val="both"/>
      </w:pPr>
      <w:r w:rsidRPr="00AF2EB2">
        <w:t xml:space="preserve">Эффективность и результативность учебной деятельности студентов во многом определяется сложной системой мотивов, которая развивается на основе ранее сформированных потребностей, интересов, способностей. Исследуя цель поступления в институт первокурсников специальности УИТ, мы определили, что наиболее многочисленная группа студентов – это та, члены которой считают целью поступления в институт "стать профессионалом". Причем, в количественном отношении она постоянно увеличивается: в 1999 г. таких первокурсников было 40%, а к 2001 г. – 61%. Примечательно, что, хотя юноши составляют большинство (приблизительно 70% от общего числа первокурсников специальности УИТ), только 2 – 7% из них отметили, что поступили в вуз, чтобы избежать службы в армии. Процесс выбора профессии, обучение в вузе для многих студентов стал более прагматичным, соответствующим происходящим изменениям в социально – экономической жизни страны. Почти половина первокурсников видят ценность образования прежде всего в возможности получить высокооплачиваемую работу и иметь гарантию стабильности. Но многие связывают образование с возможностью иметь интересную работу и повышать свой интеллектуальный уровень. </w:t>
      </w:r>
    </w:p>
    <w:p w:rsidR="0080658F" w:rsidRPr="00AF2EB2" w:rsidRDefault="0080658F" w:rsidP="0080658F">
      <w:pPr>
        <w:spacing w:before="120"/>
        <w:ind w:firstLine="567"/>
        <w:jc w:val="both"/>
      </w:pPr>
      <w:r w:rsidRPr="00AF2EB2">
        <w:t xml:space="preserve">Условием и источником познавательной, научной, общественной активности студентов, побудительной причиной их разнообразной деятельности в вузе является сложная структура мотивов [3, с. 88]. В ней при проведении исследований были выделены два больших блока: непосредственные и опосредованные мотивы. Непосредственные включают в сам процесс деятельности и соответствуют ее социально значимым целям и ценностям; опосредованные же связаны с целями и ценностями, лежащими вне самой деятельности, но хотя бы частично в ней удовлетворяющимися [4, с.91]. </w:t>
      </w:r>
    </w:p>
    <w:p w:rsidR="0080658F" w:rsidRPr="00AF2EB2" w:rsidRDefault="0080658F" w:rsidP="0080658F">
      <w:pPr>
        <w:spacing w:before="120"/>
        <w:ind w:firstLine="567"/>
        <w:jc w:val="both"/>
      </w:pPr>
      <w:r w:rsidRPr="00AF2EB2">
        <w:t xml:space="preserve">Результаты исследований познавательных мотивов и мотивов развития личности (стремление к творческой исследовательской деятельности, процесс решения познавательных задач, самообразование, ориентация на новые знания, потребность в постоянном интеллектуальном и духовном росте, стремление расширить кругозор и эрудицию, стремление повысить свой обще культурный уровень) представлены в табл. 1. Итоги изучения социальных мотивов (сознание нужности высшего образования, престижность высшего образования, желание стать полноценным членом общества, долг и ответственность; социальной идентификации: занять определенное положение в группе, одобрение преподавателей), мотивов достижения (лучше подготовиться к профессиональной деятельности и получить высокооплачиваемую работу), утилитарных (получать стипендию, избежать нареканий со стороны родителей и преподавателей, место в общежитии) систематизированы в табл. 2. О чем свидетельствуют данные, приведенные в таблицах? </w:t>
      </w:r>
    </w:p>
    <w:p w:rsidR="0080658F" w:rsidRDefault="0080658F" w:rsidP="0080658F">
      <w:pPr>
        <w:spacing w:before="120"/>
        <w:ind w:firstLine="567"/>
        <w:jc w:val="both"/>
      </w:pPr>
      <w:r w:rsidRPr="00AF2EB2">
        <w:t xml:space="preserve">В блоке непосредственных мотивов наиболее значимыми являются мотивы развития личности, причем наибольший вес имеют такие, как “стремление расширить кругозор и эрудицию” и “потребность в постоянном интеллектуальном росте”, т.е. студенты ощущают дефицит общей культуры и эрудиции, тягу к культурным ценностям. В группе познавательных мотивов наибольший вес имеет мотив самообразования. Причем, учитывая преобладание особой значимости у первокурсников мотивов “расширить кругозор и эрудицию” и “потребность в постоянном интеллектуальном росте” в сочетании со значимостью для них мотивов “самообразование” и “ориентация на новые знания”, следует отметить, что, при стремительном росте объема учебной и научной информации и сокращения сроков ее функциональной значимости, студенты осознают необходимость учиться всю жизнь не только в области будущих профессиональных интересов, но и гуманитарной и естественнонаучной сферах. </w:t>
      </w:r>
    </w:p>
    <w:p w:rsidR="0080658F" w:rsidRPr="00AF2EB2" w:rsidRDefault="0080658F" w:rsidP="0080658F">
      <w:pPr>
        <w:spacing w:before="120"/>
        <w:ind w:firstLine="567"/>
        <w:jc w:val="both"/>
      </w:pPr>
      <w:r w:rsidRPr="00AF2EB2">
        <w:t xml:space="preserve">Таблица 1 </w:t>
      </w:r>
    </w:p>
    <w:p w:rsidR="0080658F" w:rsidRPr="00AF2EB2" w:rsidRDefault="0080658F" w:rsidP="0080658F">
      <w:pPr>
        <w:spacing w:before="120"/>
        <w:ind w:firstLine="567"/>
        <w:jc w:val="both"/>
      </w:pPr>
      <w:r w:rsidRPr="00AF2EB2">
        <w:t xml:space="preserve">Познавательные мотивы и мотивы развития личности (в % к числу опрошенных)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365"/>
        <w:gridCol w:w="1116"/>
        <w:gridCol w:w="1116"/>
        <w:gridCol w:w="1131"/>
      </w:tblGrid>
      <w:tr w:rsidR="0080658F" w:rsidRPr="00AF2EB2" w:rsidTr="0003576B">
        <w:trPr>
          <w:tblCellSpacing w:w="15" w:type="dxa"/>
        </w:trPr>
        <w:tc>
          <w:tcPr>
            <w:tcW w:w="3249" w:type="pct"/>
          </w:tcPr>
          <w:p w:rsidR="0080658F" w:rsidRPr="00AF2EB2" w:rsidRDefault="0080658F" w:rsidP="0003576B">
            <w:r w:rsidRPr="00AF2EB2">
              <w:t xml:space="preserve">Мотивы </w:t>
            </w:r>
          </w:p>
        </w:tc>
        <w:tc>
          <w:tcPr>
            <w:tcW w:w="558" w:type="pct"/>
          </w:tcPr>
          <w:p w:rsidR="0080658F" w:rsidRPr="00AF2EB2" w:rsidRDefault="0080658F" w:rsidP="0003576B">
            <w:r w:rsidRPr="00AF2EB2">
              <w:t xml:space="preserve">1999 г. </w:t>
            </w:r>
          </w:p>
        </w:tc>
        <w:tc>
          <w:tcPr>
            <w:tcW w:w="558" w:type="pct"/>
          </w:tcPr>
          <w:p w:rsidR="0080658F" w:rsidRPr="00AF2EB2" w:rsidRDefault="0080658F" w:rsidP="0003576B">
            <w:r w:rsidRPr="00AF2EB2">
              <w:t xml:space="preserve">2000 г. </w:t>
            </w:r>
          </w:p>
        </w:tc>
        <w:tc>
          <w:tcPr>
            <w:tcW w:w="558" w:type="pct"/>
          </w:tcPr>
          <w:p w:rsidR="0080658F" w:rsidRPr="00AF2EB2" w:rsidRDefault="0080658F" w:rsidP="0003576B">
            <w:r w:rsidRPr="00AF2EB2">
              <w:t xml:space="preserve">2001 г. </w:t>
            </w:r>
          </w:p>
        </w:tc>
      </w:tr>
      <w:tr w:rsidR="0080658F" w:rsidRPr="00AF2EB2" w:rsidTr="0003576B">
        <w:trPr>
          <w:tblCellSpacing w:w="15" w:type="dxa"/>
        </w:trPr>
        <w:tc>
          <w:tcPr>
            <w:tcW w:w="3249" w:type="pct"/>
          </w:tcPr>
          <w:p w:rsidR="0080658F" w:rsidRPr="00AF2EB2" w:rsidRDefault="0080658F" w:rsidP="0003576B">
            <w:r w:rsidRPr="00AF2EB2">
              <w:t xml:space="preserve">Стремление к творческой исследовательской деятельности </w:t>
            </w:r>
          </w:p>
        </w:tc>
        <w:tc>
          <w:tcPr>
            <w:tcW w:w="558" w:type="pct"/>
          </w:tcPr>
          <w:p w:rsidR="0080658F" w:rsidRPr="00AF2EB2" w:rsidRDefault="0080658F" w:rsidP="0003576B">
            <w:r w:rsidRPr="00AF2EB2">
              <w:t xml:space="preserve">13 </w:t>
            </w:r>
          </w:p>
        </w:tc>
        <w:tc>
          <w:tcPr>
            <w:tcW w:w="558" w:type="pct"/>
          </w:tcPr>
          <w:p w:rsidR="0080658F" w:rsidRPr="00AF2EB2" w:rsidRDefault="0080658F" w:rsidP="0003576B">
            <w:r w:rsidRPr="00AF2EB2">
              <w:t xml:space="preserve">5 </w:t>
            </w:r>
          </w:p>
        </w:tc>
        <w:tc>
          <w:tcPr>
            <w:tcW w:w="558" w:type="pct"/>
          </w:tcPr>
          <w:p w:rsidR="0080658F" w:rsidRPr="00AF2EB2" w:rsidRDefault="0080658F" w:rsidP="0003576B">
            <w:r w:rsidRPr="00AF2EB2">
              <w:t xml:space="preserve">4 </w:t>
            </w:r>
          </w:p>
        </w:tc>
      </w:tr>
      <w:tr w:rsidR="0080658F" w:rsidRPr="00AF2EB2" w:rsidTr="0003576B">
        <w:trPr>
          <w:tblCellSpacing w:w="15" w:type="dxa"/>
        </w:trPr>
        <w:tc>
          <w:tcPr>
            <w:tcW w:w="3249" w:type="pct"/>
          </w:tcPr>
          <w:p w:rsidR="0080658F" w:rsidRPr="00AF2EB2" w:rsidRDefault="0080658F" w:rsidP="0003576B">
            <w:r w:rsidRPr="00AF2EB2">
              <w:t xml:space="preserve">Процесс решения познавательных задач </w:t>
            </w:r>
          </w:p>
        </w:tc>
        <w:tc>
          <w:tcPr>
            <w:tcW w:w="558" w:type="pct"/>
          </w:tcPr>
          <w:p w:rsidR="0080658F" w:rsidRPr="00AF2EB2" w:rsidRDefault="0080658F" w:rsidP="0003576B">
            <w:r w:rsidRPr="00AF2EB2">
              <w:t xml:space="preserve">2 </w:t>
            </w:r>
          </w:p>
        </w:tc>
        <w:tc>
          <w:tcPr>
            <w:tcW w:w="558" w:type="pct"/>
          </w:tcPr>
          <w:p w:rsidR="0080658F" w:rsidRPr="00AF2EB2" w:rsidRDefault="0080658F" w:rsidP="0003576B">
            <w:r w:rsidRPr="00AF2EB2">
              <w:t xml:space="preserve">11 </w:t>
            </w:r>
          </w:p>
        </w:tc>
        <w:tc>
          <w:tcPr>
            <w:tcW w:w="558" w:type="pct"/>
          </w:tcPr>
          <w:p w:rsidR="0080658F" w:rsidRPr="00AF2EB2" w:rsidRDefault="0080658F" w:rsidP="0003576B">
            <w:r w:rsidRPr="00AF2EB2">
              <w:t xml:space="preserve">3 </w:t>
            </w:r>
          </w:p>
        </w:tc>
      </w:tr>
      <w:tr w:rsidR="0080658F" w:rsidRPr="00AF2EB2" w:rsidTr="0003576B">
        <w:trPr>
          <w:tblCellSpacing w:w="15" w:type="dxa"/>
        </w:trPr>
        <w:tc>
          <w:tcPr>
            <w:tcW w:w="3249" w:type="pct"/>
          </w:tcPr>
          <w:p w:rsidR="0080658F" w:rsidRPr="00AF2EB2" w:rsidRDefault="0080658F" w:rsidP="0003576B">
            <w:r w:rsidRPr="00AF2EB2">
              <w:t xml:space="preserve">Самообразование </w:t>
            </w:r>
          </w:p>
        </w:tc>
        <w:tc>
          <w:tcPr>
            <w:tcW w:w="558" w:type="pct"/>
          </w:tcPr>
          <w:p w:rsidR="0080658F" w:rsidRPr="00AF2EB2" w:rsidRDefault="0080658F" w:rsidP="0003576B">
            <w:r w:rsidRPr="00AF2EB2">
              <w:t xml:space="preserve">13 </w:t>
            </w:r>
          </w:p>
        </w:tc>
        <w:tc>
          <w:tcPr>
            <w:tcW w:w="558" w:type="pct"/>
          </w:tcPr>
          <w:p w:rsidR="0080658F" w:rsidRPr="00AF2EB2" w:rsidRDefault="0080658F" w:rsidP="0003576B">
            <w:r w:rsidRPr="00AF2EB2">
              <w:t xml:space="preserve">18 </w:t>
            </w:r>
          </w:p>
        </w:tc>
        <w:tc>
          <w:tcPr>
            <w:tcW w:w="558" w:type="pct"/>
          </w:tcPr>
          <w:p w:rsidR="0080658F" w:rsidRPr="00AF2EB2" w:rsidRDefault="0080658F" w:rsidP="0003576B">
            <w:r w:rsidRPr="00AF2EB2">
              <w:t xml:space="preserve">16 </w:t>
            </w:r>
          </w:p>
        </w:tc>
      </w:tr>
      <w:tr w:rsidR="0080658F" w:rsidRPr="00AF2EB2" w:rsidTr="0003576B">
        <w:trPr>
          <w:tblCellSpacing w:w="15" w:type="dxa"/>
        </w:trPr>
        <w:tc>
          <w:tcPr>
            <w:tcW w:w="3249" w:type="pct"/>
          </w:tcPr>
          <w:p w:rsidR="0080658F" w:rsidRPr="00AF2EB2" w:rsidRDefault="0080658F" w:rsidP="0003576B">
            <w:r w:rsidRPr="00AF2EB2">
              <w:t xml:space="preserve">Ориентация на новые знания </w:t>
            </w:r>
          </w:p>
        </w:tc>
        <w:tc>
          <w:tcPr>
            <w:tcW w:w="558" w:type="pct"/>
          </w:tcPr>
          <w:p w:rsidR="0080658F" w:rsidRPr="00AF2EB2" w:rsidRDefault="0080658F" w:rsidP="0003576B">
            <w:r w:rsidRPr="00AF2EB2">
              <w:t xml:space="preserve">11 </w:t>
            </w:r>
          </w:p>
        </w:tc>
        <w:tc>
          <w:tcPr>
            <w:tcW w:w="558" w:type="pct"/>
          </w:tcPr>
          <w:p w:rsidR="0080658F" w:rsidRPr="00AF2EB2" w:rsidRDefault="0080658F" w:rsidP="0003576B">
            <w:r w:rsidRPr="00AF2EB2">
              <w:t xml:space="preserve">13 </w:t>
            </w:r>
          </w:p>
        </w:tc>
        <w:tc>
          <w:tcPr>
            <w:tcW w:w="558" w:type="pct"/>
          </w:tcPr>
          <w:p w:rsidR="0080658F" w:rsidRPr="00AF2EB2" w:rsidRDefault="0080658F" w:rsidP="0003576B">
            <w:r w:rsidRPr="00AF2EB2">
              <w:t xml:space="preserve">21 </w:t>
            </w:r>
          </w:p>
        </w:tc>
      </w:tr>
      <w:tr w:rsidR="0080658F" w:rsidRPr="00AF2EB2" w:rsidTr="0003576B">
        <w:trPr>
          <w:tblCellSpacing w:w="15" w:type="dxa"/>
        </w:trPr>
        <w:tc>
          <w:tcPr>
            <w:tcW w:w="3249" w:type="pct"/>
          </w:tcPr>
          <w:p w:rsidR="0080658F" w:rsidRPr="00AF2EB2" w:rsidRDefault="0080658F" w:rsidP="0003576B">
            <w:r w:rsidRPr="00AF2EB2">
              <w:t xml:space="preserve">Потребность в постоянном интеллектуальном и духовном росте </w:t>
            </w:r>
          </w:p>
        </w:tc>
        <w:tc>
          <w:tcPr>
            <w:tcW w:w="558" w:type="pct"/>
          </w:tcPr>
          <w:p w:rsidR="0080658F" w:rsidRPr="00AF2EB2" w:rsidRDefault="0080658F" w:rsidP="0003576B">
            <w:r w:rsidRPr="00AF2EB2">
              <w:t xml:space="preserve">16 </w:t>
            </w:r>
          </w:p>
        </w:tc>
        <w:tc>
          <w:tcPr>
            <w:tcW w:w="558" w:type="pct"/>
          </w:tcPr>
          <w:p w:rsidR="0080658F" w:rsidRPr="00AF2EB2" w:rsidRDefault="0080658F" w:rsidP="0003576B">
            <w:r w:rsidRPr="00AF2EB2">
              <w:t xml:space="preserve">16 </w:t>
            </w:r>
          </w:p>
        </w:tc>
        <w:tc>
          <w:tcPr>
            <w:tcW w:w="558" w:type="pct"/>
          </w:tcPr>
          <w:p w:rsidR="0080658F" w:rsidRPr="00AF2EB2" w:rsidRDefault="0080658F" w:rsidP="0003576B">
            <w:r w:rsidRPr="00AF2EB2">
              <w:t xml:space="preserve">4 </w:t>
            </w:r>
          </w:p>
        </w:tc>
      </w:tr>
      <w:tr w:rsidR="0080658F" w:rsidRPr="00AF2EB2" w:rsidTr="0003576B">
        <w:trPr>
          <w:tblCellSpacing w:w="15" w:type="dxa"/>
        </w:trPr>
        <w:tc>
          <w:tcPr>
            <w:tcW w:w="3249" w:type="pct"/>
          </w:tcPr>
          <w:p w:rsidR="0080658F" w:rsidRPr="00AF2EB2" w:rsidRDefault="0080658F" w:rsidP="0003576B">
            <w:r w:rsidRPr="00AF2EB2">
              <w:t xml:space="preserve">Стремление расширить кругозор и эрудицию </w:t>
            </w:r>
          </w:p>
        </w:tc>
        <w:tc>
          <w:tcPr>
            <w:tcW w:w="558" w:type="pct"/>
          </w:tcPr>
          <w:p w:rsidR="0080658F" w:rsidRPr="00AF2EB2" w:rsidRDefault="0080658F" w:rsidP="0003576B">
            <w:r w:rsidRPr="00AF2EB2">
              <w:t xml:space="preserve">24 </w:t>
            </w:r>
          </w:p>
        </w:tc>
        <w:tc>
          <w:tcPr>
            <w:tcW w:w="558" w:type="pct"/>
          </w:tcPr>
          <w:p w:rsidR="0080658F" w:rsidRPr="00AF2EB2" w:rsidRDefault="0080658F" w:rsidP="0003576B">
            <w:r w:rsidRPr="00AF2EB2">
              <w:t xml:space="preserve">25 </w:t>
            </w:r>
          </w:p>
        </w:tc>
        <w:tc>
          <w:tcPr>
            <w:tcW w:w="558" w:type="pct"/>
          </w:tcPr>
          <w:p w:rsidR="0080658F" w:rsidRPr="00AF2EB2" w:rsidRDefault="0080658F" w:rsidP="0003576B">
            <w:r w:rsidRPr="00AF2EB2">
              <w:t xml:space="preserve">32 </w:t>
            </w:r>
          </w:p>
        </w:tc>
      </w:tr>
      <w:tr w:rsidR="0080658F" w:rsidRPr="00AF2EB2" w:rsidTr="0003576B">
        <w:trPr>
          <w:tblCellSpacing w:w="15" w:type="dxa"/>
        </w:trPr>
        <w:tc>
          <w:tcPr>
            <w:tcW w:w="3249" w:type="pct"/>
          </w:tcPr>
          <w:p w:rsidR="0080658F" w:rsidRPr="00AF2EB2" w:rsidRDefault="0080658F" w:rsidP="0003576B">
            <w:r w:rsidRPr="00AF2EB2">
              <w:t xml:space="preserve">Стремление повысить свой культурный уровень </w:t>
            </w:r>
          </w:p>
        </w:tc>
        <w:tc>
          <w:tcPr>
            <w:tcW w:w="558" w:type="pct"/>
          </w:tcPr>
          <w:p w:rsidR="0080658F" w:rsidRPr="00AF2EB2" w:rsidRDefault="0080658F" w:rsidP="0003576B">
            <w:r w:rsidRPr="00AF2EB2">
              <w:t xml:space="preserve">21 </w:t>
            </w:r>
          </w:p>
        </w:tc>
        <w:tc>
          <w:tcPr>
            <w:tcW w:w="558" w:type="pct"/>
          </w:tcPr>
          <w:p w:rsidR="0080658F" w:rsidRPr="00AF2EB2" w:rsidRDefault="0080658F" w:rsidP="0003576B">
            <w:r w:rsidRPr="00AF2EB2">
              <w:t xml:space="preserve">12 </w:t>
            </w:r>
          </w:p>
        </w:tc>
        <w:tc>
          <w:tcPr>
            <w:tcW w:w="558" w:type="pct"/>
          </w:tcPr>
          <w:p w:rsidR="0080658F" w:rsidRPr="00AF2EB2" w:rsidRDefault="0080658F" w:rsidP="0003576B">
            <w:r w:rsidRPr="00AF2EB2">
              <w:t xml:space="preserve">10 </w:t>
            </w:r>
          </w:p>
        </w:tc>
      </w:tr>
    </w:tbl>
    <w:p w:rsidR="0080658F" w:rsidRPr="00AF2EB2" w:rsidRDefault="0080658F" w:rsidP="0080658F">
      <w:pPr>
        <w:spacing w:before="120"/>
        <w:ind w:firstLine="567"/>
        <w:jc w:val="both"/>
      </w:pPr>
      <w:r w:rsidRPr="00AF2EB2">
        <w:t xml:space="preserve">Таблица 2 </w:t>
      </w:r>
    </w:p>
    <w:p w:rsidR="0080658F" w:rsidRPr="00AF2EB2" w:rsidRDefault="0080658F" w:rsidP="0080658F">
      <w:pPr>
        <w:spacing w:before="120"/>
        <w:ind w:firstLine="567"/>
        <w:jc w:val="both"/>
      </w:pPr>
      <w:r w:rsidRPr="00AF2EB2">
        <w:t xml:space="preserve">Мотивация учебной деятельности студентов (в % к числу опрошенных) </w:t>
      </w:r>
    </w:p>
    <w:p w:rsidR="0080658F" w:rsidRPr="00AF2EB2" w:rsidRDefault="0080658F" w:rsidP="0080658F">
      <w:pPr>
        <w:spacing w:before="120"/>
        <w:ind w:firstLine="567"/>
        <w:jc w:val="both"/>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398"/>
        <w:gridCol w:w="1105"/>
        <w:gridCol w:w="1105"/>
        <w:gridCol w:w="1120"/>
      </w:tblGrid>
      <w:tr w:rsidR="0080658F" w:rsidRPr="00AF2EB2" w:rsidTr="0003576B">
        <w:trPr>
          <w:tblCellSpacing w:w="15" w:type="dxa"/>
        </w:trPr>
        <w:tc>
          <w:tcPr>
            <w:tcW w:w="3266" w:type="pct"/>
          </w:tcPr>
          <w:p w:rsidR="0080658F" w:rsidRPr="00AF2EB2" w:rsidRDefault="0080658F" w:rsidP="0003576B">
            <w:r w:rsidRPr="00AF2EB2">
              <w:t xml:space="preserve">Стимулы к учебе </w:t>
            </w:r>
          </w:p>
        </w:tc>
        <w:tc>
          <w:tcPr>
            <w:tcW w:w="553" w:type="pct"/>
          </w:tcPr>
          <w:p w:rsidR="0080658F" w:rsidRPr="00AF2EB2" w:rsidRDefault="0080658F" w:rsidP="0003576B">
            <w:r w:rsidRPr="00AF2EB2">
              <w:t xml:space="preserve">1999 г. </w:t>
            </w:r>
          </w:p>
        </w:tc>
        <w:tc>
          <w:tcPr>
            <w:tcW w:w="553" w:type="pct"/>
          </w:tcPr>
          <w:p w:rsidR="0080658F" w:rsidRPr="00AF2EB2" w:rsidRDefault="0080658F" w:rsidP="0003576B">
            <w:r w:rsidRPr="00AF2EB2">
              <w:t xml:space="preserve">2000 г. </w:t>
            </w:r>
          </w:p>
        </w:tc>
        <w:tc>
          <w:tcPr>
            <w:tcW w:w="553" w:type="pct"/>
          </w:tcPr>
          <w:p w:rsidR="0080658F" w:rsidRPr="00AF2EB2" w:rsidRDefault="0080658F" w:rsidP="0003576B">
            <w:r w:rsidRPr="00AF2EB2">
              <w:t xml:space="preserve">2001 г. </w:t>
            </w:r>
          </w:p>
        </w:tc>
      </w:tr>
      <w:tr w:rsidR="0080658F" w:rsidRPr="00AF2EB2" w:rsidTr="0003576B">
        <w:trPr>
          <w:tblCellSpacing w:w="15" w:type="dxa"/>
        </w:trPr>
        <w:tc>
          <w:tcPr>
            <w:tcW w:w="3266" w:type="pct"/>
          </w:tcPr>
          <w:p w:rsidR="0080658F" w:rsidRPr="00AF2EB2" w:rsidRDefault="0080658F" w:rsidP="0003576B">
            <w:r w:rsidRPr="00AF2EB2">
              <w:t xml:space="preserve">Сознание нужности высшего образования </w:t>
            </w:r>
          </w:p>
        </w:tc>
        <w:tc>
          <w:tcPr>
            <w:tcW w:w="553" w:type="pct"/>
          </w:tcPr>
          <w:p w:rsidR="0080658F" w:rsidRPr="00AF2EB2" w:rsidRDefault="0080658F" w:rsidP="0003576B">
            <w:r w:rsidRPr="00AF2EB2">
              <w:t xml:space="preserve">36 </w:t>
            </w:r>
          </w:p>
        </w:tc>
        <w:tc>
          <w:tcPr>
            <w:tcW w:w="553" w:type="pct"/>
          </w:tcPr>
          <w:p w:rsidR="0080658F" w:rsidRPr="00AF2EB2" w:rsidRDefault="0080658F" w:rsidP="0003576B">
            <w:r w:rsidRPr="00AF2EB2">
              <w:t xml:space="preserve">44 </w:t>
            </w:r>
          </w:p>
        </w:tc>
        <w:tc>
          <w:tcPr>
            <w:tcW w:w="553" w:type="pct"/>
          </w:tcPr>
          <w:p w:rsidR="0080658F" w:rsidRPr="00AF2EB2" w:rsidRDefault="0080658F" w:rsidP="0003576B">
            <w:r w:rsidRPr="00AF2EB2">
              <w:t xml:space="preserve">28 </w:t>
            </w:r>
          </w:p>
        </w:tc>
      </w:tr>
      <w:tr w:rsidR="0080658F" w:rsidRPr="00AF2EB2" w:rsidTr="0003576B">
        <w:trPr>
          <w:tblCellSpacing w:w="15" w:type="dxa"/>
        </w:trPr>
        <w:tc>
          <w:tcPr>
            <w:tcW w:w="3266" w:type="pct"/>
          </w:tcPr>
          <w:p w:rsidR="0080658F" w:rsidRPr="00AF2EB2" w:rsidRDefault="0080658F" w:rsidP="0003576B">
            <w:r w:rsidRPr="00AF2EB2">
              <w:t xml:space="preserve">Престижность высшего образования </w:t>
            </w:r>
          </w:p>
        </w:tc>
        <w:tc>
          <w:tcPr>
            <w:tcW w:w="553" w:type="pct"/>
          </w:tcPr>
          <w:p w:rsidR="0080658F" w:rsidRPr="00AF2EB2" w:rsidRDefault="0080658F" w:rsidP="0003576B">
            <w:r w:rsidRPr="00AF2EB2">
              <w:t xml:space="preserve">5 </w:t>
            </w:r>
          </w:p>
        </w:tc>
        <w:tc>
          <w:tcPr>
            <w:tcW w:w="553" w:type="pct"/>
          </w:tcPr>
          <w:p w:rsidR="0080658F" w:rsidRPr="00AF2EB2" w:rsidRDefault="0080658F" w:rsidP="0003576B">
            <w:r w:rsidRPr="00AF2EB2">
              <w:t xml:space="preserve">3 </w:t>
            </w:r>
          </w:p>
        </w:tc>
        <w:tc>
          <w:tcPr>
            <w:tcW w:w="553" w:type="pct"/>
          </w:tcPr>
          <w:p w:rsidR="0080658F" w:rsidRPr="00AF2EB2" w:rsidRDefault="0080658F" w:rsidP="0003576B">
            <w:r w:rsidRPr="00AF2EB2">
              <w:t xml:space="preserve">3 </w:t>
            </w:r>
          </w:p>
        </w:tc>
      </w:tr>
      <w:tr w:rsidR="0080658F" w:rsidRPr="00AF2EB2" w:rsidTr="0003576B">
        <w:trPr>
          <w:tblCellSpacing w:w="15" w:type="dxa"/>
        </w:trPr>
        <w:tc>
          <w:tcPr>
            <w:tcW w:w="3266" w:type="pct"/>
          </w:tcPr>
          <w:p w:rsidR="0080658F" w:rsidRPr="00AF2EB2" w:rsidRDefault="0080658F" w:rsidP="0003576B">
            <w:r w:rsidRPr="00AF2EB2">
              <w:t xml:space="preserve">Желание стать полноценным членом общества </w:t>
            </w:r>
          </w:p>
        </w:tc>
        <w:tc>
          <w:tcPr>
            <w:tcW w:w="553" w:type="pct"/>
          </w:tcPr>
          <w:p w:rsidR="0080658F" w:rsidRPr="00AF2EB2" w:rsidRDefault="0080658F" w:rsidP="0003576B">
            <w:r w:rsidRPr="00AF2EB2">
              <w:t xml:space="preserve">8 </w:t>
            </w:r>
          </w:p>
        </w:tc>
        <w:tc>
          <w:tcPr>
            <w:tcW w:w="553" w:type="pct"/>
          </w:tcPr>
          <w:p w:rsidR="0080658F" w:rsidRPr="00AF2EB2" w:rsidRDefault="0080658F" w:rsidP="0003576B">
            <w:r w:rsidRPr="00AF2EB2">
              <w:t xml:space="preserve">11 </w:t>
            </w:r>
          </w:p>
        </w:tc>
        <w:tc>
          <w:tcPr>
            <w:tcW w:w="553" w:type="pct"/>
          </w:tcPr>
          <w:p w:rsidR="0080658F" w:rsidRPr="00AF2EB2" w:rsidRDefault="0080658F" w:rsidP="0003576B">
            <w:r w:rsidRPr="00AF2EB2">
              <w:t xml:space="preserve">10 </w:t>
            </w:r>
          </w:p>
        </w:tc>
      </w:tr>
      <w:tr w:rsidR="0080658F" w:rsidRPr="00AF2EB2" w:rsidTr="0003576B">
        <w:trPr>
          <w:tblCellSpacing w:w="15" w:type="dxa"/>
        </w:trPr>
        <w:tc>
          <w:tcPr>
            <w:tcW w:w="3266" w:type="pct"/>
          </w:tcPr>
          <w:p w:rsidR="0080658F" w:rsidRPr="00AF2EB2" w:rsidRDefault="0080658F" w:rsidP="0003576B">
            <w:r w:rsidRPr="00AF2EB2">
              <w:t xml:space="preserve">Долг, ответственность </w:t>
            </w:r>
          </w:p>
        </w:tc>
        <w:tc>
          <w:tcPr>
            <w:tcW w:w="553" w:type="pct"/>
          </w:tcPr>
          <w:p w:rsidR="0080658F" w:rsidRPr="00AF2EB2" w:rsidRDefault="0080658F" w:rsidP="0003576B">
            <w:r w:rsidRPr="00AF2EB2">
              <w:t xml:space="preserve">2 </w:t>
            </w:r>
          </w:p>
        </w:tc>
        <w:tc>
          <w:tcPr>
            <w:tcW w:w="553" w:type="pct"/>
          </w:tcPr>
          <w:p w:rsidR="0080658F" w:rsidRPr="00AF2EB2" w:rsidRDefault="0080658F" w:rsidP="0003576B">
            <w:r w:rsidRPr="00AF2EB2">
              <w:t xml:space="preserve">5 </w:t>
            </w:r>
          </w:p>
        </w:tc>
        <w:tc>
          <w:tcPr>
            <w:tcW w:w="553" w:type="pct"/>
          </w:tcPr>
          <w:p w:rsidR="0080658F" w:rsidRPr="00AF2EB2" w:rsidRDefault="0080658F" w:rsidP="0003576B">
            <w:r w:rsidRPr="00AF2EB2">
              <w:t xml:space="preserve">1 </w:t>
            </w:r>
          </w:p>
        </w:tc>
      </w:tr>
      <w:tr w:rsidR="0080658F" w:rsidRPr="00AF2EB2" w:rsidTr="0003576B">
        <w:trPr>
          <w:tblCellSpacing w:w="15" w:type="dxa"/>
        </w:trPr>
        <w:tc>
          <w:tcPr>
            <w:tcW w:w="3266" w:type="pct"/>
          </w:tcPr>
          <w:p w:rsidR="0080658F" w:rsidRPr="00AF2EB2" w:rsidRDefault="0080658F" w:rsidP="0003576B">
            <w:r w:rsidRPr="00AF2EB2">
              <w:t xml:space="preserve">Желание занять определенное положение в группе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r>
      <w:tr w:rsidR="0080658F" w:rsidRPr="00AF2EB2" w:rsidTr="0003576B">
        <w:trPr>
          <w:tblCellSpacing w:w="15" w:type="dxa"/>
        </w:trPr>
        <w:tc>
          <w:tcPr>
            <w:tcW w:w="3266" w:type="pct"/>
          </w:tcPr>
          <w:p w:rsidR="0080658F" w:rsidRPr="00AF2EB2" w:rsidRDefault="0080658F" w:rsidP="0003576B">
            <w:r w:rsidRPr="00AF2EB2">
              <w:t xml:space="preserve">Одобрение преподавателей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r>
      <w:tr w:rsidR="0080658F" w:rsidRPr="00AF2EB2" w:rsidTr="0003576B">
        <w:trPr>
          <w:tblCellSpacing w:w="15" w:type="dxa"/>
        </w:trPr>
        <w:tc>
          <w:tcPr>
            <w:tcW w:w="3266" w:type="pct"/>
          </w:tcPr>
          <w:p w:rsidR="0080658F" w:rsidRPr="00AF2EB2" w:rsidRDefault="0080658F" w:rsidP="0003576B">
            <w:r w:rsidRPr="00AF2EB2">
              <w:t xml:space="preserve">Лучше подготовиться к профессиональной деятельности </w:t>
            </w:r>
          </w:p>
        </w:tc>
        <w:tc>
          <w:tcPr>
            <w:tcW w:w="553" w:type="pct"/>
          </w:tcPr>
          <w:p w:rsidR="0080658F" w:rsidRPr="00AF2EB2" w:rsidRDefault="0080658F" w:rsidP="0003576B">
            <w:r w:rsidRPr="00AF2EB2">
              <w:t xml:space="preserve">34 </w:t>
            </w:r>
          </w:p>
        </w:tc>
        <w:tc>
          <w:tcPr>
            <w:tcW w:w="553" w:type="pct"/>
          </w:tcPr>
          <w:p w:rsidR="0080658F" w:rsidRPr="00AF2EB2" w:rsidRDefault="0080658F" w:rsidP="0003576B">
            <w:r w:rsidRPr="00AF2EB2">
              <w:t xml:space="preserve">14 </w:t>
            </w:r>
          </w:p>
        </w:tc>
        <w:tc>
          <w:tcPr>
            <w:tcW w:w="553" w:type="pct"/>
          </w:tcPr>
          <w:p w:rsidR="0080658F" w:rsidRPr="00AF2EB2" w:rsidRDefault="0080658F" w:rsidP="0003576B">
            <w:r w:rsidRPr="00AF2EB2">
              <w:t xml:space="preserve">25 </w:t>
            </w:r>
          </w:p>
        </w:tc>
      </w:tr>
      <w:tr w:rsidR="0080658F" w:rsidRPr="00AF2EB2" w:rsidTr="0003576B">
        <w:trPr>
          <w:tblCellSpacing w:w="15" w:type="dxa"/>
        </w:trPr>
        <w:tc>
          <w:tcPr>
            <w:tcW w:w="3266" w:type="pct"/>
          </w:tcPr>
          <w:p w:rsidR="0080658F" w:rsidRPr="00AF2EB2" w:rsidRDefault="0080658F" w:rsidP="0003576B">
            <w:r w:rsidRPr="00AF2EB2">
              <w:t xml:space="preserve">Получить высокооплачиваемую работу </w:t>
            </w:r>
          </w:p>
        </w:tc>
        <w:tc>
          <w:tcPr>
            <w:tcW w:w="553" w:type="pct"/>
          </w:tcPr>
          <w:p w:rsidR="0080658F" w:rsidRPr="00AF2EB2" w:rsidRDefault="0080658F" w:rsidP="0003576B">
            <w:r w:rsidRPr="00AF2EB2">
              <w:t xml:space="preserve">13 </w:t>
            </w:r>
          </w:p>
        </w:tc>
        <w:tc>
          <w:tcPr>
            <w:tcW w:w="553" w:type="pct"/>
          </w:tcPr>
          <w:p w:rsidR="0080658F" w:rsidRPr="00AF2EB2" w:rsidRDefault="0080658F" w:rsidP="0003576B">
            <w:r w:rsidRPr="00AF2EB2">
              <w:t xml:space="preserve">16 </w:t>
            </w:r>
          </w:p>
        </w:tc>
        <w:tc>
          <w:tcPr>
            <w:tcW w:w="553" w:type="pct"/>
          </w:tcPr>
          <w:p w:rsidR="0080658F" w:rsidRPr="00AF2EB2" w:rsidRDefault="0080658F" w:rsidP="0003576B">
            <w:r w:rsidRPr="00AF2EB2">
              <w:t xml:space="preserve">24 </w:t>
            </w:r>
          </w:p>
        </w:tc>
      </w:tr>
      <w:tr w:rsidR="0080658F" w:rsidRPr="00AF2EB2" w:rsidTr="0003576B">
        <w:trPr>
          <w:tblCellSpacing w:w="15" w:type="dxa"/>
        </w:trPr>
        <w:tc>
          <w:tcPr>
            <w:tcW w:w="3266" w:type="pct"/>
          </w:tcPr>
          <w:p w:rsidR="0080658F" w:rsidRPr="00AF2EB2" w:rsidRDefault="0080658F" w:rsidP="0003576B">
            <w:r w:rsidRPr="00AF2EB2">
              <w:t xml:space="preserve">Получать стипендию </w:t>
            </w:r>
          </w:p>
        </w:tc>
        <w:tc>
          <w:tcPr>
            <w:tcW w:w="553" w:type="pct"/>
          </w:tcPr>
          <w:p w:rsidR="0080658F" w:rsidRPr="00AF2EB2" w:rsidRDefault="0080658F" w:rsidP="0003576B">
            <w:r w:rsidRPr="00AF2EB2">
              <w:t xml:space="preserve">2 </w:t>
            </w:r>
          </w:p>
        </w:tc>
        <w:tc>
          <w:tcPr>
            <w:tcW w:w="553" w:type="pct"/>
          </w:tcPr>
          <w:p w:rsidR="0080658F" w:rsidRPr="00AF2EB2" w:rsidRDefault="0080658F" w:rsidP="0003576B">
            <w:r w:rsidRPr="00AF2EB2">
              <w:t xml:space="preserve">5 </w:t>
            </w:r>
          </w:p>
        </w:tc>
        <w:tc>
          <w:tcPr>
            <w:tcW w:w="553" w:type="pct"/>
          </w:tcPr>
          <w:p w:rsidR="0080658F" w:rsidRPr="00AF2EB2" w:rsidRDefault="0080658F" w:rsidP="0003576B">
            <w:r w:rsidRPr="00AF2EB2">
              <w:t xml:space="preserve">7 </w:t>
            </w:r>
          </w:p>
        </w:tc>
      </w:tr>
      <w:tr w:rsidR="0080658F" w:rsidRPr="00AF2EB2" w:rsidTr="0003576B">
        <w:trPr>
          <w:tblCellSpacing w:w="15" w:type="dxa"/>
        </w:trPr>
        <w:tc>
          <w:tcPr>
            <w:tcW w:w="3266" w:type="pct"/>
          </w:tcPr>
          <w:p w:rsidR="0080658F" w:rsidRPr="00AF2EB2" w:rsidRDefault="0080658F" w:rsidP="0003576B">
            <w:r w:rsidRPr="00AF2EB2">
              <w:t xml:space="preserve">Избежать нареканий со стороны преподавателей, родителей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2 </w:t>
            </w:r>
          </w:p>
        </w:tc>
        <w:tc>
          <w:tcPr>
            <w:tcW w:w="553" w:type="pct"/>
          </w:tcPr>
          <w:p w:rsidR="0080658F" w:rsidRPr="00AF2EB2" w:rsidRDefault="0080658F" w:rsidP="0003576B">
            <w:r w:rsidRPr="00AF2EB2">
              <w:t xml:space="preserve">2 </w:t>
            </w:r>
          </w:p>
        </w:tc>
      </w:tr>
      <w:tr w:rsidR="0080658F" w:rsidRPr="00AF2EB2" w:rsidTr="0003576B">
        <w:trPr>
          <w:tblCellSpacing w:w="15" w:type="dxa"/>
        </w:trPr>
        <w:tc>
          <w:tcPr>
            <w:tcW w:w="3266" w:type="pct"/>
          </w:tcPr>
          <w:p w:rsidR="0080658F" w:rsidRPr="00AF2EB2" w:rsidRDefault="0080658F" w:rsidP="0003576B">
            <w:r w:rsidRPr="00AF2EB2">
              <w:t xml:space="preserve">Получить место в общежитии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c>
          <w:tcPr>
            <w:tcW w:w="553" w:type="pct"/>
          </w:tcPr>
          <w:p w:rsidR="0080658F" w:rsidRPr="00AF2EB2" w:rsidRDefault="0080658F" w:rsidP="0003576B">
            <w:r w:rsidRPr="00AF2EB2">
              <w:t xml:space="preserve">0 </w:t>
            </w:r>
          </w:p>
        </w:tc>
      </w:tr>
    </w:tbl>
    <w:p w:rsidR="0080658F" w:rsidRPr="00AF2EB2" w:rsidRDefault="0080658F" w:rsidP="0080658F">
      <w:pPr>
        <w:spacing w:before="120"/>
        <w:ind w:firstLine="567"/>
        <w:jc w:val="both"/>
      </w:pPr>
      <w:r w:rsidRPr="00AF2EB2">
        <w:t xml:space="preserve">В блоке опосредованных мотивов наибольший вес имеет группа мотивов достижения. В этой группе выделяется мотив “лучше подготовиться к профессиональной деятельности”, т.е. первокурсники понимают, что успешная учеба в вузе будет являться основой их становления как настоящих специалистов. Мотив материального благосостояния определяет понимание ими того, что знания пригодятся для достижения материального благополучия. Группа мотивов достижения значительно превосходит группу социальных мотивов, но следует отметить: именно в последней находится лидирующий по значимости мотив – “сознание нужности высшего образования”. Большинство студентов уже на первом курсе имеют четкое представление о том, что в настоящее время востребованы специалисты, имеющие высшее образование, способные работать со сложной современной техникой, владеющие новыми информационными технологиями. Неудивительно, что в течении нескольких лет повторяются основные мотивы учебной деятельности студентов: стремление расширить кругозор и эрудицию; осознание необходимости самообразования; стремление получше подготовится к профессиональной деятельности; осознание нужности высшего образование. Они непосредственно связаны с целью, которую ставят перед собой многие студенты – стать профессионалами, иметь гарантию стабильности и достичь материального благополучия. </w:t>
      </w:r>
    </w:p>
    <w:p w:rsidR="0080658F" w:rsidRPr="00AF2EB2" w:rsidRDefault="0080658F" w:rsidP="0080658F">
      <w:pPr>
        <w:spacing w:before="120"/>
        <w:ind w:firstLine="567"/>
        <w:jc w:val="both"/>
      </w:pPr>
      <w:r w:rsidRPr="00AF2EB2">
        <w:t xml:space="preserve">Успехи учебной деятельности студентов примерно на 70% обусловлены именно мотивацией, а на долю способностей психологи оставляют всего 30% [5, с.96]. Значит, именно комплекс мотивов побуждает студентов успешно учиться, от степени его выраженности зависит академическая успеваемость и другие показатели учебной работы. Причем, внешние условия опосредованно влияют на процесс обучения, действуют в основном на этапе адаптации, затем их влияние ослабевает и решающее значение начинают играть именно внутривузовские факторы. Эта группа факторов проявляет свое действие в рамках самого учебно-воспитательного процесса и ими можно управлять. К ним относятся: организация учебного процесса (планирование и рейтинго-модульная система оценки успеваемости, информационно-методическое обеспечение), уровень преподавания и использование педагогических технологий обучения. Влияние на внутривузовские факторы возможно через ускорение адаптации студентов – первокурсников к условиям обучения в вузе; оказание психологической поддержки со стороны кураторов групп; обучение организации и технологии учебы в вузе как специфическому виду деятельности. </w:t>
      </w:r>
    </w:p>
    <w:p w:rsidR="0080658F" w:rsidRDefault="0080658F" w:rsidP="0080658F">
      <w:pPr>
        <w:spacing w:before="120"/>
        <w:ind w:firstLine="567"/>
        <w:jc w:val="both"/>
      </w:pPr>
      <w:r w:rsidRPr="00AF2EB2">
        <w:t xml:space="preserve">Наш опыт свидетельствует: исследование мотивационных особенностей абитуриентов и студентов служит исходным основанием для планирования, определения организационных форм, способов, средств учебного процесса и координации всех видов работы кафедры. Оно помогает совершенствовать систему профессиональной ориентации, осуществить прогнозирование образовательного процесса в вузе. </w:t>
      </w:r>
    </w:p>
    <w:p w:rsidR="0080658F" w:rsidRPr="00F420FD" w:rsidRDefault="0080658F" w:rsidP="0080658F">
      <w:pPr>
        <w:spacing w:before="120"/>
        <w:jc w:val="center"/>
        <w:rPr>
          <w:b/>
          <w:bCs/>
          <w:sz w:val="28"/>
          <w:szCs w:val="28"/>
        </w:rPr>
      </w:pPr>
      <w:r w:rsidRPr="00F420FD">
        <w:rPr>
          <w:b/>
          <w:bCs/>
          <w:sz w:val="28"/>
          <w:szCs w:val="28"/>
        </w:rPr>
        <w:t xml:space="preserve">Список литературы </w:t>
      </w:r>
    </w:p>
    <w:p w:rsidR="0080658F" w:rsidRPr="00AF2EB2" w:rsidRDefault="0080658F" w:rsidP="0080658F">
      <w:pPr>
        <w:spacing w:before="120"/>
        <w:ind w:firstLine="567"/>
        <w:jc w:val="both"/>
      </w:pPr>
      <w:r w:rsidRPr="00AF2EB2">
        <w:t xml:space="preserve">Педагогика и психология высшей школы / Под редакцией Самыгина С.И. Ростов-на-Дону: Феникс, 1998. 544 с. </w:t>
      </w:r>
    </w:p>
    <w:p w:rsidR="0080658F" w:rsidRPr="00AF2EB2" w:rsidRDefault="0080658F" w:rsidP="0080658F">
      <w:pPr>
        <w:spacing w:before="120"/>
        <w:ind w:firstLine="567"/>
        <w:jc w:val="both"/>
      </w:pPr>
      <w:r w:rsidRPr="00AF2EB2">
        <w:t xml:space="preserve">Вербицкий А., Кругликов В. Контекстное обучение: формирование мотивации // Высшее образование в России. 1998. №1. </w:t>
      </w:r>
    </w:p>
    <w:p w:rsidR="0080658F" w:rsidRPr="00AF2EB2" w:rsidRDefault="0080658F" w:rsidP="0080658F">
      <w:pPr>
        <w:spacing w:before="120"/>
        <w:ind w:firstLine="567"/>
        <w:jc w:val="both"/>
      </w:pPr>
      <w:r w:rsidRPr="00AF2EB2">
        <w:t xml:space="preserve">Антипова В.М. Формирование мотивов учебной деятельности студентов в условиях учебно-научного комплекса вуза // Проблемы оптимизации учебного процесса в вузе. Ростов-на-Дону: Изд-во Рост.ун-та, 1981. </w:t>
      </w:r>
    </w:p>
    <w:p w:rsidR="0080658F" w:rsidRPr="00AF2EB2" w:rsidRDefault="0080658F" w:rsidP="0080658F">
      <w:pPr>
        <w:spacing w:before="120"/>
        <w:ind w:firstLine="567"/>
        <w:jc w:val="both"/>
      </w:pPr>
      <w:r w:rsidRPr="00AF2EB2">
        <w:t xml:space="preserve">Рогов М. Мотивация учебной и коммерческой деятельности студентов // Высшее образование в России. 1998. №4. </w:t>
      </w:r>
    </w:p>
    <w:p w:rsidR="0080658F" w:rsidRPr="00AF2EB2" w:rsidRDefault="0080658F" w:rsidP="0080658F">
      <w:pPr>
        <w:spacing w:before="120"/>
        <w:ind w:firstLine="567"/>
        <w:jc w:val="both"/>
      </w:pPr>
      <w:r w:rsidRPr="00AF2EB2">
        <w:t xml:space="preserve">Вербицкий А., Бакшаева А. Развитие мотивации в контекстном обучении // Вестник в высшей школе. 1998. №1.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58F"/>
    <w:rsid w:val="0003576B"/>
    <w:rsid w:val="00051FB8"/>
    <w:rsid w:val="00095BA6"/>
    <w:rsid w:val="000C2CFF"/>
    <w:rsid w:val="001747D3"/>
    <w:rsid w:val="001B1793"/>
    <w:rsid w:val="00210DB3"/>
    <w:rsid w:val="0031418A"/>
    <w:rsid w:val="00350B15"/>
    <w:rsid w:val="00377A3D"/>
    <w:rsid w:val="0052086C"/>
    <w:rsid w:val="005A2562"/>
    <w:rsid w:val="00755964"/>
    <w:rsid w:val="0080658F"/>
    <w:rsid w:val="008C19D7"/>
    <w:rsid w:val="00A44D32"/>
    <w:rsid w:val="00AF2EB2"/>
    <w:rsid w:val="00E12572"/>
    <w:rsid w:val="00F4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1D4DC-F959-4732-AF9C-E837F95B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5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6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2279</Words>
  <Characters>12994</Characters>
  <Application>Microsoft Office Word</Application>
  <DocSecurity>0</DocSecurity>
  <Lines>108</Lines>
  <Paragraphs>30</Paragraphs>
  <ScaleCrop>false</ScaleCrop>
  <Company>Home</Company>
  <LinksUpToDate>false</LinksUpToDate>
  <CharactersWithSpaces>15243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Мотивационные предпочтения абитуриентов и студентов</dc:title>
  <dc:subject/>
  <dc:creator>Alena</dc:creator>
  <cp:keywords/>
  <dc:description/>
  <cp:lastModifiedBy>admin</cp:lastModifiedBy>
  <cp:revision>2</cp:revision>
  <dcterms:created xsi:type="dcterms:W3CDTF">2014-02-18T17:59:00Z</dcterms:created>
  <dcterms:modified xsi:type="dcterms:W3CDTF">2014-02-18T17:59:00Z</dcterms:modified>
</cp:coreProperties>
</file>