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0B" w:rsidRPr="005A4AFA" w:rsidRDefault="00850A0B" w:rsidP="00850A0B">
      <w:pPr>
        <w:spacing w:before="120"/>
        <w:jc w:val="center"/>
        <w:rPr>
          <w:b/>
          <w:bCs/>
          <w:sz w:val="32"/>
          <w:szCs w:val="32"/>
        </w:rPr>
      </w:pPr>
      <w:bookmarkStart w:id="0" w:name="_Toc109402619"/>
      <w:bookmarkStart w:id="1" w:name="_Toc120519715"/>
      <w:r w:rsidRPr="005A4AFA">
        <w:rPr>
          <w:b/>
          <w:bCs/>
          <w:sz w:val="32"/>
          <w:szCs w:val="32"/>
        </w:rPr>
        <w:t>Об исследовании молодежной политики города</w:t>
      </w:r>
      <w:bookmarkEnd w:id="0"/>
      <w:bookmarkEnd w:id="1"/>
    </w:p>
    <w:p w:rsidR="00850A0B" w:rsidRPr="005A4AFA" w:rsidRDefault="00850A0B" w:rsidP="00850A0B">
      <w:pPr>
        <w:spacing w:before="120"/>
        <w:jc w:val="center"/>
        <w:rPr>
          <w:sz w:val="28"/>
          <w:szCs w:val="28"/>
        </w:rPr>
      </w:pPr>
      <w:bookmarkStart w:id="2" w:name="_Toc120519714"/>
      <w:r w:rsidRPr="005A4AFA">
        <w:rPr>
          <w:sz w:val="28"/>
          <w:szCs w:val="28"/>
        </w:rPr>
        <w:t>Лапыгин Ю.Н.</w:t>
      </w:r>
      <w:bookmarkEnd w:id="2"/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 xml:space="preserve">Анализируя информацию о деятельности структурных подразделений и подведомственных учреждений администрации города Владимира по реализации программы «Молодежь и город. 2001 - 2005» в 2004 году, можно заметить, что программа выполняется не только путем проведения смотров, конкурсов, конференций, семинаров, программ, ярмарок и осуществлением акций, сборов, фестивалей, изданий, но и организацией досуга, отдыха, слетов, встреч, уроков, студенческих отрядов, турниров, праздников, олимпиад, месячников, рейдов, мониторингов, игр, сборов, экскурсий, поездок, спартакиад, турниров. Кроме того, предусмотрены такие элементы как установление стипендий и поддержка молодежных организаций, центров, клубов, секций, станций, школ, лагерей. 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Выделенные перечни свидетельствуют о многообразии направлений и видов деятельности различных структурных подразделений администрации города, что требует значительных усилий по систематизации (координации) работы с молодежью и рациональному использованию имеющихся ресурсов.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В целом ориентация действующей молодежной политики представлена на рисунке 1.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Разделы программы укладываются в 7 основных направлений: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Формирование условий для гражданского становления, военно-патриотического, духовно-нравственного воспитания молодежи. Увековечение памяти защитников Отечества.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Формирование и развитие системы социальной адаптации молодого человека.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Содействие трудоустройству и занятости.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Комплексные меры по укреплению молодой семьи. Содействие в решении жилищных проблем.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Развитие системы социальных служб.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Правовое просвещение и защита молодежи. Профилактика правонарушений, асоциальных явлений в молодежной среде, зависимости от психоактивных веществ.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Развитие молодежного, детского и семейного отдыха и массового молодежного спорта. Создание системы здорового, содержательного и развивающего досуга подростков и молодежи.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Создание условий для эффективной реализации потенциала студенческой молодежи.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 xml:space="preserve">Развитие и поддержка детских, молодежных общественных организаций и других некоммерческих объединений, ведущих работу с молодежью. 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Создание системы информационного обеспечения молодежной политики. Развитие системы переподготовки и повышения квалификации специалистов по работе с молодежью.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Указанные явления и тенденции закономерно определяют предмет, цель и задачи исследования вопросов молодежной политики.</w:t>
      </w:r>
    </w:p>
    <w:p w:rsidR="00850A0B" w:rsidRPr="000D74D9" w:rsidRDefault="00946CB7" w:rsidP="00850A0B">
      <w:pPr>
        <w:spacing w:before="120"/>
        <w:ind w:firstLine="567"/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65.2pt;width:117pt;height:49.8pt;z-index:251658240">
            <v:textbox style="mso-next-textbox:#_x0000_s1026">
              <w:txbxContent>
                <w:p w:rsidR="00850A0B" w:rsidRDefault="00850A0B" w:rsidP="00850A0B">
                  <w:r w:rsidRPr="00A1362C">
                    <w:rPr>
                      <w:sz w:val="16"/>
                      <w:szCs w:val="16"/>
                    </w:rPr>
                    <w:t xml:space="preserve">Создание условий для эффективной реализации потенциала </w:t>
                  </w:r>
                  <w:r w:rsidRPr="009A4A8F">
                    <w:rPr>
                      <w:b/>
                      <w:bCs/>
                      <w:sz w:val="16"/>
                      <w:szCs w:val="16"/>
                    </w:rPr>
                    <w:t xml:space="preserve">студенческой </w:t>
                  </w:r>
                  <w:r w:rsidRPr="00A1362C">
                    <w:rPr>
                      <w:sz w:val="16"/>
                      <w:szCs w:val="16"/>
                    </w:rPr>
                    <w:t>молодежи.</w:t>
                  </w:r>
                </w:p>
                <w:p w:rsidR="00850A0B" w:rsidRDefault="00850A0B" w:rsidP="00850A0B"/>
              </w:txbxContent>
            </v:textbox>
          </v:shape>
        </w:pict>
      </w:r>
      <w:r>
        <w:pict>
          <v:group id="_x0000_s1027" editas="canvas" style="width:459pt;height:630pt;mso-position-horizontal-relative:char;mso-position-vertical-relative:line" coordorigin="1707,1950" coordsize="9180,12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7;top:1950;width:9180;height:12600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2427;top:12750;width:7740;height:360">
              <v:textbox style="mso-next-textbox:#_x0000_s1029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Развитие системы переподготовки и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повышения квалификации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специалистов по работе с молодежью.</w:t>
                    </w:r>
                  </w:p>
                  <w:p w:rsidR="00850A0B" w:rsidRDefault="00850A0B" w:rsidP="00850A0B"/>
                </w:txbxContent>
              </v:textbox>
            </v:shape>
            <v:line id="_x0000_s1030" style="position:absolute" from="2247,7890" to="10347,7890">
              <v:stroke startarrow="block" endarrow="block"/>
            </v:line>
            <v:line id="_x0000_s1031" style="position:absolute" from="4767,3930" to="8007,11850">
              <v:stroke startarrow="block" endarrow="block"/>
            </v:line>
            <v:line id="_x0000_s1032" style="position:absolute;flip:x" from="4947,3930" to="7827,11670">
              <v:stroke startarrow="block" endarrow="block"/>
            </v:line>
            <v:line id="_x0000_s1033" style="position:absolute;flip:y" from="3327,5550" to="9807,9870">
              <v:stroke startarrow="block" endarrow="block"/>
            </v:line>
            <v:line id="_x0000_s1034" style="position:absolute" from="2967,5550" to="9807,10230">
              <v:stroke startarrow="block" endarrow="block"/>
            </v:line>
            <v:line id="_x0000_s1035" style="position:absolute" from="4407,7710" to="4407,8070"/>
            <v:line id="_x0000_s1036" style="position:absolute" from="8367,7710" to="8367,8070"/>
            <v:line id="_x0000_s1037" style="position:absolute" from="4587,8790" to="4947,9150"/>
            <v:line id="_x0000_s1038" style="position:absolute" from="5487,9510" to="6027,9690"/>
            <v:line id="_x0000_s1039" style="position:absolute;flip:y" from="6927,9510" to="7287,9690"/>
            <v:line id="_x0000_s1040" style="position:absolute;flip:y" from="7827,8790" to="8187,9150"/>
            <v:line id="_x0000_s1041" style="position:absolute" from="7827,6630" to="8187,6990"/>
            <v:line id="_x0000_s1042" style="position:absolute" from="6747,6090" to="7287,6270"/>
            <v:line id="_x0000_s1043" style="position:absolute;flip:x" from="5487,6090" to="5847,6270"/>
            <v:line id="_x0000_s1044" style="position:absolute;flip:x" from="4767,6630" to="4947,6810"/>
            <v:shape id="_x0000_s1045" type="#_x0000_t202" style="position:absolute;left:2247;top:3210;width:2520;height:720">
              <v:textbox style="mso-next-textbox:#_x0000_s1045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Воспитание патриотизма и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гражданственности.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  <w:p w:rsidR="00850A0B" w:rsidRDefault="00850A0B" w:rsidP="00850A0B"/>
                </w:txbxContent>
              </v:textbox>
            </v:shape>
            <v:shape id="_x0000_s1046" type="#_x0000_t202" style="position:absolute;left:7827;top:3030;width:2880;height:1080">
              <v:textbox style="mso-next-textbox:#_x0000_s1046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Формирование условий для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гражданского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становления, военно-патриотического, духовно-нравственного воспитания молодежи. </w:t>
                    </w:r>
                  </w:p>
                  <w:p w:rsidR="00850A0B" w:rsidRDefault="00850A0B" w:rsidP="00850A0B"/>
                </w:txbxContent>
              </v:textbox>
            </v:shape>
            <v:shape id="_x0000_s1047" type="#_x0000_t202" style="position:absolute;left:8367;top:4830;width:2520;height:720">
              <v:textbox style="mso-next-textbox:#_x0000_s1047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Увековечение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памяти 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защитников Отечества.</w:t>
                    </w:r>
                  </w:p>
                  <w:p w:rsidR="00850A0B" w:rsidRDefault="00850A0B" w:rsidP="00850A0B"/>
                </w:txbxContent>
              </v:textbox>
            </v:shape>
            <v:shape id="_x0000_s1048" type="#_x0000_t202" style="position:absolute;left:1707;top:4470;width:3060;height:1080">
              <v:textbox style="mso-next-textbox:#_x0000_s1048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Развитие и поддержка детских,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молодежных общественных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объединений и других некоммерческих организаций, работающих с молодежью.</w:t>
                    </w:r>
                  </w:p>
                  <w:p w:rsidR="00850A0B" w:rsidRDefault="00850A0B" w:rsidP="00850A0B"/>
                </w:txbxContent>
              </v:textbox>
            </v:shape>
            <v:shape id="_x0000_s1049" type="#_x0000_t202" style="position:absolute;left:1707;top:9870;width:2880;height:720">
              <v:textbox style="mso-next-textbox:#_x0000_s1049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Создание системы здорового, содержательного и развивающего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досуга подростков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и молодежи.</w:t>
                    </w:r>
                  </w:p>
                  <w:p w:rsidR="00850A0B" w:rsidRDefault="00850A0B" w:rsidP="00850A0B"/>
                </w:txbxContent>
              </v:textbox>
            </v:shape>
            <v:shape id="_x0000_s1050" type="#_x0000_t202" style="position:absolute;left:8187;top:10230;width:2700;height:720">
              <v:textbox style="mso-next-textbox:#_x0000_s1050">
                <w:txbxContent>
                  <w:p w:rsidR="00850A0B" w:rsidRDefault="00850A0B" w:rsidP="00850A0B">
                    <w:r w:rsidRPr="009A4A8F">
                      <w:rPr>
                        <w:b/>
                        <w:bCs/>
                        <w:sz w:val="16"/>
                        <w:szCs w:val="16"/>
                      </w:rPr>
                      <w:t>Правовое</w:t>
                    </w:r>
                    <w:r w:rsidRPr="00A1362C">
                      <w:rPr>
                        <w:sz w:val="16"/>
                        <w:szCs w:val="16"/>
                      </w:rPr>
                      <w:t xml:space="preserve"> просвещение и защита молодежи.</w:t>
                    </w:r>
                  </w:p>
                </w:txbxContent>
              </v:textbox>
            </v:shape>
            <v:shape id="_x0000_s1051" type="#_x0000_t202" style="position:absolute;left:2427;top:11670;width:3420;height:720">
              <v:textbox style="mso-next-textbox:#_x0000_s1051">
                <w:txbxContent>
                  <w:p w:rsidR="00850A0B" w:rsidRDefault="00850A0B" w:rsidP="00850A0B">
                    <w:r w:rsidRPr="00A1362C">
                      <w:rPr>
                        <w:sz w:val="16"/>
                        <w:szCs w:val="16"/>
                      </w:rPr>
                      <w:t xml:space="preserve">Развитие молодежного, детского и семейного </w:t>
                    </w:r>
                    <w:r w:rsidRPr="009A4A8F">
                      <w:rPr>
                        <w:b/>
                        <w:bCs/>
                        <w:sz w:val="16"/>
                        <w:szCs w:val="16"/>
                      </w:rPr>
                      <w:t>отдыха и массового молодежного спорта.</w:t>
                    </w:r>
                  </w:p>
                </w:txbxContent>
              </v:textbox>
            </v:shape>
            <v:shape id="_x0000_s1052" type="#_x0000_t202" style="position:absolute;left:6747;top:11850;width:3600;height:720">
              <v:textbox style="mso-next-textbox:#_x0000_s1052">
                <w:txbxContent>
                  <w:p w:rsidR="00850A0B" w:rsidRPr="00A1362C" w:rsidRDefault="00850A0B" w:rsidP="00850A0B">
                    <w:pPr>
                      <w:pStyle w:val="ConsNormal"/>
                      <w:widowControl/>
                      <w:ind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Профилактика </w:t>
                    </w:r>
                    <w:r w:rsidRPr="009A4A8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правонарушений</w:t>
                    </w:r>
                    <w:r w:rsidRPr="00A1362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асоциальных явлений в молодежной среде, зависимости от психоактивных веществ.</w:t>
                    </w:r>
                  </w:p>
                  <w:p w:rsidR="00850A0B" w:rsidRDefault="00850A0B" w:rsidP="00850A0B"/>
                </w:txbxContent>
              </v:textbox>
            </v:shape>
            <v:shape id="_x0000_s1053" type="#_x0000_t202" style="position:absolute;left:8547;top:6810;width:2340;height:984">
              <v:textbox style="mso-next-textbox:#_x0000_s1053">
                <w:txbxContent>
                  <w:p w:rsidR="00850A0B" w:rsidRDefault="00850A0B" w:rsidP="00850A0B">
                    <w:r w:rsidRPr="00A1362C">
                      <w:rPr>
                        <w:sz w:val="16"/>
                        <w:szCs w:val="16"/>
                      </w:rPr>
                      <w:t xml:space="preserve">Формирование и развитие системы социальной </w:t>
                    </w:r>
                    <w:r w:rsidRPr="009A4A8F">
                      <w:rPr>
                        <w:b/>
                        <w:bCs/>
                        <w:sz w:val="16"/>
                        <w:szCs w:val="16"/>
                      </w:rPr>
                      <w:t>адаптации</w:t>
                    </w:r>
                    <w:r w:rsidRPr="00A1362C">
                      <w:rPr>
                        <w:sz w:val="16"/>
                        <w:szCs w:val="16"/>
                      </w:rPr>
                      <w:t xml:space="preserve"> молодого человека.</w:t>
                    </w:r>
                  </w:p>
                </w:txbxContent>
              </v:textbox>
            </v:shape>
            <v:line id="_x0000_s1054" style="position:absolute" from="6387,2850" to="6388,12750">
              <v:stroke startarrow="block" endarrow="block"/>
            </v:line>
            <v:shape id="_x0000_s1055" type="#_x0000_t202" style="position:absolute;left:3147;top:2490;width:6480;height:360">
              <v:textbox style="mso-next-textbox:#_x0000_s1055">
                <w:txbxContent>
                  <w:p w:rsidR="00850A0B" w:rsidRDefault="00850A0B" w:rsidP="00850A0B">
                    <w:pPr>
                      <w:jc w:val="center"/>
                    </w:pPr>
                    <w:r w:rsidRPr="00A1362C">
                      <w:rPr>
                        <w:sz w:val="16"/>
                        <w:szCs w:val="16"/>
                      </w:rPr>
                      <w:t xml:space="preserve">Создание </w:t>
                    </w:r>
                    <w:r w:rsidRPr="009A4A8F">
                      <w:rPr>
                        <w:b/>
                        <w:bCs/>
                        <w:sz w:val="16"/>
                        <w:szCs w:val="16"/>
                      </w:rPr>
                      <w:t>системы информационного</w:t>
                    </w:r>
                    <w:r w:rsidRPr="00A1362C">
                      <w:rPr>
                        <w:sz w:val="16"/>
                        <w:szCs w:val="16"/>
                      </w:rPr>
                      <w:t xml:space="preserve"> обеспечения молодежной политики.</w:t>
                    </w:r>
                  </w:p>
                </w:txbxContent>
              </v:textbox>
            </v:shape>
            <v:line id="_x0000_s1056" style="position:absolute" from="6207,9690" to="6567,9691"/>
            <v:line id="_x0000_s1057" style="position:absolute" from="6207,6015" to="6567,6016"/>
            <v:shape id="_x0000_s1058" type="#_x0000_t202" style="position:absolute;left:2067;top:13830;width:8460;height:540" stroked="f">
              <v:textbox style="mso-next-textbox:#_x0000_s1058">
                <w:txbxContent>
                  <w:p w:rsidR="00850A0B" w:rsidRPr="00E64D53" w:rsidRDefault="00850A0B" w:rsidP="00850A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4D53">
                      <w:rPr>
                        <w:sz w:val="28"/>
                        <w:szCs w:val="28"/>
                      </w:rPr>
                      <w:t>Рис. 1. Ориентация молодежной политики г.Владимира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Так, объектом исследования являются отношения между органами власти и молодежью по поводу их взаимодействия, а предметом – содержание молодежной политики, являющейся частью стратегии развития города.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В объект исследования включены следующие категории: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а)</w:t>
      </w:r>
      <w:r>
        <w:t xml:space="preserve"> </w:t>
      </w:r>
      <w:r w:rsidRPr="000D74D9">
        <w:t>учащиеся средних общеобразовательных школ Владимирской области (старше 14 лет);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б)</w:t>
      </w:r>
      <w:r>
        <w:t xml:space="preserve"> </w:t>
      </w:r>
      <w:r w:rsidRPr="000D74D9">
        <w:t>учащиеся ВУЗов и ССУЗов Владимирской области (от 14 до 30 лет);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в)</w:t>
      </w:r>
      <w:r>
        <w:t xml:space="preserve"> </w:t>
      </w:r>
      <w:r w:rsidRPr="000D74D9">
        <w:t>работающие на постоянной или временной работе, а также безработные (не старше 30 лет).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 xml:space="preserve">В качестве цели исследования выступает разработка молодежной политики города Владимира в виде согласованной совокупности проектов, программ и отдельных мероприятий, направленных на достижение цели реализации самой стратегии развития города: 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На повышение уровня и качества жизни горожан через создание условий для полноценной занятости, получение высоких и устойчивых доходов, доступности широкого спектра социальных услуг, соблюдение высоких экологических стандартов жизни. Важно также обеспечить благоприятную деловую среду – комплекс юридических, налоговых, организационных и прочих условий, стимулирующих сохранение и развитие хозяйственной деятельности в различных формах.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Как правило, в подобных исследованиях используются следующие методы: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анкетный опрос и интервью;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метод номинальных групп;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метод морфологических матриц;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метод SWOT-анализа;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методы экспертных оценок;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контент-анализ: анализ документов.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1.Документальные данные контен-анализ - один из главных источников получения информации на первом этапе настоящего исследования. С помощью этого метода проводится общий анализ. по результатам которого выдвигаются основные гипотезы.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2. Метод интервью и анкетного опроса, используемый в исследовании, является наиболее подходящим, поскольку с его помощью можно получить наиболее полную первичную информацию об исследуемой проблеме посредством получения конкретных ответов на четко поставленные вопросы, которые впоследствии легко анализировать.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3. Метод номинальных групп используется при проведении диагностического семинара.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4. С помощью метода морфологических матриц осуществляется построение матрицы решений, содежащей наиболее значимые проекты и программы молодежной политики.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5. SWOT-анализ позволяет составить перечни параметров внешней и внутренней среды, ориентированной на молодежь города, что обеспечивает определение наиболее значимых возможностей и угроз, сильных и слабых сторон, на основе метода экспертных оценок.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Задачи Концепции Федеральной целевой программы «Молодежь России» на 2006-2010 годы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Главной проблемой концепция определяет низкую включенность молодежи в жизнь общества. Она проявляется во всех сферах жизнедеятельности молодежи на фоне ухудшения здоровья молодого поколения; роста социальной апатии, снижения экономической активности; криминализации молодежной среды. Вместе с тем, молодежь обладает позитивным потенциалом, который реализуется не в полной мере и проявляется в мобильности, инициативности, восприимчивости к инновационным изменениям, новым технологиям, способности противодействовать современным вызовам.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Программно-целевой метод решения проблемы, предлагаемый концепцией, позволяет рассматривать саму молодежь не столько в качестве целевой группы Программы, но и как субъект и основной кадровый ресурс.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Применение программно-целевого метода в решении ключевой проблемы позволит: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обеспечить адресность, последовательность, преемственность и контролируемость инвестирования государственных средств в молодежную сферу страны;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выявить круг приоритетных объектов и субъектов целевого инвестирования программы;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разработать и внедрить технологию решения актуальных проблем молодежи с участием самой молодежи;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- создать предпосылки и условия для устойчивого развития и функционирования инфраструктуры, созданной в ходе реализации Программы по окончании сроков ее реализации в 2010 году.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 показателям проблемной ситуации с молодежью могут быть отнесены: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доля безработной молодежи от общего числа молодых людей;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доля молодежи, находящейся в конфликте с законом;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доля молодежи, включенной в деятельность общественных организаций;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доля обучающейся и студенческой молодежи;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доля молодых людей, представленной в органах власти всех уровней, от общего числа сотрудников.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Количественные и качественные характеристики по указанным показателям, убедительно показывают наличие устойчивых негативных тенденций в молодежной сфере, на фоне зарождения позитивных тенденций самоорганизации молодежи: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включение в систему непрерывного образования,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мобильности в поисках высокооплачиваемой работы и жилья,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развитие молодежных общественных движений, объединений,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- создания собственного дела и развития бизнеса.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В рамках традиционных подходов к решению социальных проблем невозможно обеспечить эффективное взаимодействие субъектов воспитания и институтов гражданского общества. Только с применением программно-целевого подхода открывается перспектива системного объединения ресурсов гражданского общества России и органов государственного управления.</w:t>
      </w:r>
    </w:p>
    <w:p w:rsidR="00850A0B" w:rsidRPr="005A4AFA" w:rsidRDefault="00850A0B" w:rsidP="00850A0B">
      <w:pPr>
        <w:spacing w:before="120"/>
        <w:jc w:val="center"/>
        <w:rPr>
          <w:b/>
          <w:bCs/>
          <w:sz w:val="28"/>
          <w:szCs w:val="28"/>
        </w:rPr>
      </w:pPr>
      <w:r w:rsidRPr="005A4AFA">
        <w:rPr>
          <w:b/>
          <w:bCs/>
          <w:sz w:val="28"/>
          <w:szCs w:val="28"/>
        </w:rPr>
        <w:t>Стратегические карты концепции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Для реализации концептуальных и стратегически значимых программ целесообразно использовать сбалансированную систему показателей, идея которых была высказана десятилетие тому назад и доказала свою эффективность и практическую применимость как в бизнесе, так и в некоммерческих организациях.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Сбалансированная система показателей (ССП) представляет собой своеобразную концепцию управления и является инструментом реализации стратегии. ССП организаций позволяет связать оперативное и стратегическое управление, поскольку переводит стратегию в систему целей и задач в рамках четырех основн</w:t>
      </w:r>
      <w:bookmarkStart w:id="3" w:name="формулы"/>
      <w:bookmarkEnd w:id="3"/>
      <w:r w:rsidRPr="000D74D9">
        <w:t xml:space="preserve">ых проекций: финансов, клиентов, внутренних бизнес-процессов, обучения и саморазвития организации. 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Показатели системы позволяют измерить результаты деятельности сотрудников и подразделений по отношению к целям организации. В целом ССП дает ответы на такие вопросы: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какой организация представляется собственникам, уполномоченному органу, потенциальным инвесторам (карта «финансы»: 4-5 показателей);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какой организация представляется потребителям (карта «клиенты»: 4-5 показателей);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какие  внутренние процессы организация должна улучшить, от каких должна отказаться, на каких сосредоточить внимание (карта «внутренних бизнес-процессов»: 8-10 показателей);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может ли организация продолжать свое развитие, повышать эффективность, увеличивать свою стоимость (карта «обучения и роста»: 4-5 показателей)?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 элементам сбалансированной системы показателей относят: карту задач; карту сбалансированных показателей и приборные панели для контроля.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В рамках рассматриваемого подхода цели и показатели детализируются до уровня подразделений и исполнителей. Например: задача мэра – удержать репутацию своей команды в глазах избирателей, задача же начальника отдела – обеспечить положительную репутацию в части своего участка работ и т.д.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Однако при этом следует помнить, что цели организации в целом не равны целям персонала, поэтому нужна мотивация работников. Кроме того, цели должны быть конкретными (понятными), измеримыми (в цифрах), согласованными со стратегией, достижимыми (выполнимыми), определенными во времени.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При всем при этом, цели должны быть сбалансированными и в рамках команды менеджеров в целом, и в зонах ответственности каждого из них.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Цели декомпозируются. Декомпозиция цели должна быть осуществлена таким образом, чтобы достижение каждой цели стало зоной ответственности. Для каждой цели определяются подцели и ресурсы, необходимые для ее достижения. По каждой цели выбирается показатель оценки ее достижения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По каждому показателю устанавливается критерий эффективности. Необходимо учесть взаимосвязь показателей и взаимозависимость значений показателей. Система показателей и их критериальные значения должны быть сбалансированы.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 xml:space="preserve">Алгоритм формирования сбалансированной системы показателей заключается в следующем. Стратегическая цель развития организации декомпозируется на подцели до уровня исполнителей. Определяются показатели эффективности для каждой из целей структурных подразделений, а значения ключевых показателей эффективности (КПЭ) устанавливаются с учетом их взаимосвязи. Осуществляется балансировка критериальных значений КПЭ и определяются зоны ответственности менеджеров. Одновременно с отмеченным устанавливаются процедуры контроля достижения целей, а также корректировки целей и КПЭ. 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Для успешного освоения сбалансированной системы показателей необходимо принимать во внимание следующие факторы: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необходимо обеспечить вовлеченность в процесс внедрения ССП всех работников организации и в первую очередь – первых лиц;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требуются постоянные усилия первых лиц организации по поддержке внедрения ССП;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для обеспечения системности функционирования ССП следует уделять дополнительное внимание обучению персонала, а также поощрять распространение положительного опыта внедрения ССП и обеспечивать взаимосвязь со стратегией на всех уровнях иерархии;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при общей ориентации на стратегию, необходимо провести инвентаризацию организационной структуры, а также каналов отчетности, формирования политик, процедур командообразования;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необходимо осуществить перевод стратегии в оперативную терминологию организации.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Рассматриваемая система показателей помогает привлечь инвесторов, поскольку анализ и системная отчетность делают организацию прозрачней, что дает преимущество на финансовом рынке.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Однако следует остерегаться больших ошибок в реализации ССП. К таким ошибкам следует отнести: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неадекватность согласования показателей со стратегией;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невнимание к обучению персонала и его мотивации;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стремление быстрее окончательно внедрить систему премирования, ориентированную на показатели, которые требуют корректировки;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отсутствие персональной ответственности за каждую цель;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отсутствие полномочий при наличии ответственности за достижение закрепленных целей;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переизбыток инициатив (большое количество изменений).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недостаток корпоративной культуры.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Следует иметь ввиду, что эффект от реализации ССП проявляется не сразу, а спустя полгода-год. Само же внедрение требует дополнительных ресурсов и сопряжено с недостатком всей необходимой информации в части новых показателей деятельности организации. Низкая мотивация и слабый контроль исполнения целевых показателей приводит к разрыву связей между стратегическими целями оперативной работой персонала.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Главные причины сопротивлений внедрению ССП заключаются в неготовности к изменениям (недостаточная квалификация, низкая корпоративная культура) работников организации, бездумное следование шаблону, а также сугубо операционный подход и излишняя детализация, при которой формируется 25-30 целей и 50 КПЭ. Последнее обстоятельство ведет к тому, что размываются корпоративные приоритеты, теряется стратегическая цель.</w:t>
      </w:r>
    </w:p>
    <w:p w:rsidR="00850A0B" w:rsidRPr="005A4AFA" w:rsidRDefault="00850A0B" w:rsidP="00850A0B">
      <w:pPr>
        <w:spacing w:before="120"/>
        <w:jc w:val="center"/>
        <w:rPr>
          <w:b/>
          <w:bCs/>
          <w:sz w:val="28"/>
          <w:szCs w:val="28"/>
        </w:rPr>
      </w:pPr>
      <w:r w:rsidRPr="005A4AFA">
        <w:rPr>
          <w:b/>
          <w:bCs/>
          <w:sz w:val="28"/>
          <w:szCs w:val="28"/>
        </w:rPr>
        <w:t>Система показателей в рамках каждой карты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Определяется методом контент-анализа «Концепции» и корректируется на заключительном этапе построения молодежной политики на основе структурных схем каждой карты путем построения итоговых таблиц.</w:t>
      </w:r>
    </w:p>
    <w:p w:rsidR="00850A0B" w:rsidRPr="005A4AFA" w:rsidRDefault="00850A0B" w:rsidP="00850A0B">
      <w:pPr>
        <w:spacing w:before="120"/>
        <w:jc w:val="center"/>
        <w:rPr>
          <w:b/>
          <w:bCs/>
          <w:sz w:val="28"/>
          <w:szCs w:val="28"/>
        </w:rPr>
      </w:pPr>
      <w:r w:rsidRPr="005A4AFA">
        <w:rPr>
          <w:b/>
          <w:bCs/>
          <w:sz w:val="28"/>
          <w:szCs w:val="28"/>
        </w:rPr>
        <w:t>Выполнение SWOT-анализа по каждой карте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SWOT-анализ выполняется на основе результатов работы групп стратегического планирования, результатов диагностического семинара и интервью и корректируется с учетом результатов анкетного опроса горожан (выборка квотная). Полученные перечни показателей SWOT-анализа ранжируются методом экспертных оценок.</w:t>
      </w:r>
    </w:p>
    <w:p w:rsidR="00850A0B" w:rsidRPr="005A4AFA" w:rsidRDefault="00850A0B" w:rsidP="00850A0B">
      <w:pPr>
        <w:spacing w:before="120"/>
        <w:jc w:val="center"/>
        <w:rPr>
          <w:b/>
          <w:bCs/>
          <w:sz w:val="28"/>
          <w:szCs w:val="28"/>
        </w:rPr>
      </w:pPr>
      <w:r w:rsidRPr="005A4AFA">
        <w:rPr>
          <w:b/>
          <w:bCs/>
          <w:sz w:val="28"/>
          <w:szCs w:val="28"/>
        </w:rPr>
        <w:t>Построение матрицы решений по каждой карте, определение системы показателей, критериев и ресурсов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Матрица решений представляет собой морфологическую матрицу, построенную по результатам SWOT-анализа. Для каждого стратегически значимого решения необходимо определить показатель и критерий оценки степени успешности реализации решения, а также необходимо оценить основные ресурсы, необходимые для реализации решения.</w:t>
      </w:r>
    </w:p>
    <w:p w:rsidR="00850A0B" w:rsidRPr="005A4AFA" w:rsidRDefault="00850A0B" w:rsidP="00850A0B">
      <w:pPr>
        <w:spacing w:before="120"/>
        <w:jc w:val="center"/>
        <w:rPr>
          <w:b/>
          <w:bCs/>
          <w:sz w:val="28"/>
          <w:szCs w:val="28"/>
        </w:rPr>
      </w:pPr>
      <w:r w:rsidRPr="005A4AFA">
        <w:rPr>
          <w:b/>
          <w:bCs/>
          <w:sz w:val="28"/>
          <w:szCs w:val="28"/>
        </w:rPr>
        <w:t>Определение молодежной политики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Осуществляется путем построения совокупности структурных схем, основанных на содержании матриц решений в рамках каждой стратегической карты. То есть молодежная политика будет представлена совокупностью проектов, программ и отдельных мероприятий, определяющих основе содержание ионновационного развития молодежи города.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Корректировка молодежной политики с учетом стратегии развития г.Владимира, программы 2001-2005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Необходима в силу того, что матрица решений отражает не все, а только наиболее значимые, стратегические проекты и программы. Отработанные на практике и проверенные на результативность проекты и программы и в том числе отдельные мероприятия, предусмотренные программой «2001-2005» должные быть включены в молодежную политику.</w:t>
      </w:r>
    </w:p>
    <w:p w:rsidR="00850A0B" w:rsidRPr="000D74D9" w:rsidRDefault="00850A0B" w:rsidP="00850A0B">
      <w:pPr>
        <w:spacing w:before="120"/>
        <w:ind w:firstLine="567"/>
        <w:jc w:val="both"/>
      </w:pPr>
      <w:r w:rsidRPr="000D74D9">
        <w:t>Проблема вовлеченности представителей органов власти в процесс разработки молодежной политики</w:t>
      </w:r>
    </w:p>
    <w:p w:rsidR="00850A0B" w:rsidRDefault="00850A0B" w:rsidP="00850A0B">
      <w:pPr>
        <w:spacing w:before="120"/>
        <w:ind w:firstLine="567"/>
        <w:jc w:val="both"/>
      </w:pPr>
      <w:r w:rsidRPr="000D74D9">
        <w:t>Проблема может быть снята или существенно ослаблена за счет привлечения основных центров влияния к участию на всех этапах формирования молодежной политики: в проведении диагностического семинара и диагностического интервью, в процессе анкетирования и обсуждения промежуточных результатов. На завершающем этапе будут полезны фокус-группы и открытые чтения и обсуждения содержания проектов и программ молодежной политики. выносимых на утверждение в соответствующие органы власти.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A0B"/>
    <w:rsid w:val="00095BA6"/>
    <w:rsid w:val="000D74D9"/>
    <w:rsid w:val="0031418A"/>
    <w:rsid w:val="004C3892"/>
    <w:rsid w:val="005A2562"/>
    <w:rsid w:val="005A4AFA"/>
    <w:rsid w:val="00777E2E"/>
    <w:rsid w:val="00850A0B"/>
    <w:rsid w:val="00946CB7"/>
    <w:rsid w:val="009A4A8F"/>
    <w:rsid w:val="00A1362C"/>
    <w:rsid w:val="00A44D32"/>
    <w:rsid w:val="00E12572"/>
    <w:rsid w:val="00E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docId w15:val="{4F6D698F-87CA-4486-930C-05418B0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0A0B"/>
    <w:rPr>
      <w:color w:val="0000FF"/>
      <w:u w:val="single"/>
    </w:rPr>
  </w:style>
  <w:style w:type="paragraph" w:customStyle="1" w:styleId="ConsNormal">
    <w:name w:val="ConsNormal"/>
    <w:uiPriority w:val="99"/>
    <w:rsid w:val="00850A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2304</Words>
  <Characters>13138</Characters>
  <Application>Microsoft Office Word</Application>
  <DocSecurity>0</DocSecurity>
  <Lines>109</Lines>
  <Paragraphs>30</Paragraphs>
  <ScaleCrop>false</ScaleCrop>
  <Company>Home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исследовании молодежной политики города</dc:title>
  <dc:subject/>
  <dc:creator>Alena</dc:creator>
  <cp:keywords/>
  <dc:description/>
  <cp:lastModifiedBy>Irina</cp:lastModifiedBy>
  <cp:revision>2</cp:revision>
  <dcterms:created xsi:type="dcterms:W3CDTF">2014-08-07T14:35:00Z</dcterms:created>
  <dcterms:modified xsi:type="dcterms:W3CDTF">2014-08-07T14:35:00Z</dcterms:modified>
</cp:coreProperties>
</file>