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E9" w:rsidRPr="00C0510E" w:rsidRDefault="008868E9" w:rsidP="008868E9">
      <w:pPr>
        <w:spacing w:before="120"/>
        <w:jc w:val="center"/>
        <w:rPr>
          <w:rFonts w:ascii="Times New Roman" w:hAnsi="Times New Roman"/>
          <w:b/>
          <w:sz w:val="32"/>
        </w:rPr>
      </w:pPr>
      <w:r w:rsidRPr="00C0510E">
        <w:rPr>
          <w:rFonts w:ascii="Times New Roman" w:hAnsi="Times New Roman"/>
          <w:b/>
          <w:sz w:val="32"/>
        </w:rPr>
        <w:t>Об объекте исследования  в теории самообучения иностранным языкам  с позиции синергетики</w:t>
      </w:r>
    </w:p>
    <w:p w:rsidR="008868E9" w:rsidRPr="00C0510E" w:rsidRDefault="008868E9" w:rsidP="008868E9">
      <w:pPr>
        <w:spacing w:before="120"/>
        <w:jc w:val="center"/>
        <w:rPr>
          <w:rFonts w:ascii="Times New Roman" w:hAnsi="Times New Roman"/>
          <w:sz w:val="28"/>
        </w:rPr>
      </w:pPr>
      <w:r w:rsidRPr="00C0510E">
        <w:rPr>
          <w:rFonts w:ascii="Times New Roman" w:hAnsi="Times New Roman"/>
          <w:sz w:val="28"/>
        </w:rPr>
        <w:t>Т.Ю. Тамбовкина</w:t>
      </w:r>
    </w:p>
    <w:p w:rsidR="008868E9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Бурное развитие межкультурных связей в мире вызвало потребность в массовом изучении иностранных языков (ИЯ) и сделало актуальными проблемы самообучения ИЯ. На основе многочисленных эмпирических исследований постепенно начала складываться теория самообучения ИЯ. Как и всякая теория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она требует выделения своего объекта исследования с позиции общенаучных подходов. В статье делается попытка рассмотреть объект теории самообучения ИЯ с точки зрения синергетики.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Самообучение иностранным языкам (ИЯ) начинает играть все большую роль в образовательном процессе высшей школы. Возрастание его роли и значения вызвано многими причинами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среди которых важнейшее место занимают глобализация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переход на новую образовательную парадигму и развитие теории самообучения.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Глобализация влечет за собой бурное развитие межкультурных связей в мире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обуславливает рост потребностей общества в массовом знании ИЯ. Самообучение ИЯ выступает в этом случае как путь реализации этой потребности отдельными индивидуумами.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Переход на новую образовательную парадигму в высшей школе выдвигает в центр образовательного процесса студента в качестве «активного субъекта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приобретающего образование в форме “личностного знания”» [1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53]. Одной из ключевых компетенций студента является знание ИЯ. В ее формировании важное место занимает самообучение ИЯ.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последние годы самообучение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автодидактика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постепенно стало оформляться как самостоятельное научное направление в области педагогических и методических исследований. Многие аспекты проблемы самообучения уже нашли свое отражение в работах Э.В. Андреевой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Д. Бивер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И.Ю. Бухалова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И.А. Гиниатуллина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Т.В. Габай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О.С.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Газмана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А.К. Громцевой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Е.И. Ереминой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А.В. Куринского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Д.Г.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Левитаса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Б.Т. Лихачева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И.Л. Наумченко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Н.А. Нефедовой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П.А.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Разинова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Ю.Г. Репьева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Д.Л. Спивака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Т.Ю. Тамбовкиной и многих других исследователей. Однако теоретического осмысления данной проблемы в полной мере еще не произошло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сформировано целостное представление о самообучении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 настоящего времени нет единого мнения по поводу объекта самообучения. В данной статье делается попытка выделения и рассмотрения объекта самообучения ИЯ с позиции синергетического подхода.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Разработка любого теоретического направления требует выделения собственного объекта исследования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в современной гносеологии определяется как 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«противостоит познающему субъекту (исследователю в данном случае) в его познавательной деятельности» [2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28]. Как известно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объекты педагогического исследования всегда лежат в области образовательного процесса. Теория самообучения не является исключением в этом отношении.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Анализ публикаций по проблемам самообучения показывает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толковании самообучения как объекта исследования намечаются две главные тенденции: рассмотрение его в расширительном и узком планах.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расширительном плане объект самообучения выступает как принцип обучения будущих специалистов в вузе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реализация которого «зависит от организации обучающимся самостоятельной познавательной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е. учения. Для этого важно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обучающийся умел самостоятельно приобретать знания из разных источников; работать с информацией; отбирать и конструировать необходимые способы познавательной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адекватные целям и задачам учения; применять усвоенные знания в практике; взаимодействовать с преподавателем»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47]. Как следует из приведенной цитаты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объектом исследования в данном случае выступает самостоятельная познавательная деятельность обучающихся в высшей школе. Такой же объект исследования выделяется и в диссертации Е.И. Ереминой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посвященной влиянию самообучения на развитие творческой активности будущего специалиста в процессе преподавания ИЯ. При этом самообучение определяется ею как «творческая деятельность личности по самостоятельному овладению способами познавательной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коммуникативной и других видов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приобретению на их базе необходимых знаний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навыков и формированию качеств личности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обеспечивающих ее саморазвитие»[ 4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4].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Одной из форм самостоятельной познавательной деятельности является самообразование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основной составляющей которого выступает самообучение [5]. Самообразование выступает в этом случае как «целенаправленный процесс поиска и усвоения знаний в определенных областях социального опыта»[6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47]. А.В. Куринский в своей «Автодидактике» предлагает использовать ИЯ в качестве средства самообразования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овладевать которым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его мнению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следует «интегральным методом» [7].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Более узкое толкование объекта исследования в теории самообучения можно найти в монографии Ю.Г. Репьева «Интерактивное самообучение»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он определяется как «процессы учения»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 которыми понимается «собственная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самостоятельная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самоуправляемая учебно-познавательная и учебно-практическая деятельность индивида по усвоению знаний и освоению действий и деятельностей» [8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28—29]. Еще более узкое определение можно найти в автодидактике С.А. Днепрова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дефинируется им как «целенаправленная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систематичная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самостоятельная и автономная деятельность субъекта процесса самообучения по усвоению знаний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развитию представлений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формулировке понятий и категорий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выработке умений и навыков» [9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61]. В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данном определении акцент делается на автономной учебно-практической деятельности субъекта самообучения.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анализ публикаций по проблемам самообучения показывает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ученые придерживаются различных точек зрения в определении объекта исследования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трактуя его то максимально широко как самостоятельную познавательную деятельность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сужая понятие до самостоятельной автономной учебной деятельности субъекта самообучения. По всей видимости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обе точки зрения могут сосуществовать. Все зависит от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какой подход выбрать при рассмотрении самообучения в качестве объекта исследования. При его изменении появится и иное толкование сущности изучаемого объекта.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Научные подходы в современной педагогической науке отличаются многообразием. Среди них можно выделить следующие: гуманистический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личностный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деятельностный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антропологический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культурологический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системный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целостный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комплексный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парадигмальный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полипарадигмальный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контекстуальный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синергетический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когнитивно-информационный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коммуникативный и многие другие. В основе каждого из них лежит фундаментальная идея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базе которой строится процедура исследования. Закономерно возникает вопрос: какой подход или комплекс каких подходов требуется выбрать для исследования процессов самообучения?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Если в качестве объекта избрать самостоятельную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автономную учебную деятельность субъекта самообучения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очевидно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объект исследования должен рассматриваться с позиции таких подходов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личностно ориентированный (в центр образовательного процесса в этом случае выдвигается относительно автономная личность обучающегося) и деятельностный (при изучении языков актуальны учебная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коммуникативная и другие виды деятельности обучающегося).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Если вспомнить о классическом определении объекта научного исследования как «сложного системного образования определенного уровня организации материи» [10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3]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в этом случае помимо вышеназванных следует обратиться к одному из важнейших общенаучных подходов — системному.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Рассмотрение объекта исследования как сложного системного явления предполагает разложение его на отдельные элементы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выявление их взаимосвязей и соподчинения в зависимости от происходящих в нем изменений. Неслучайно во множество существующих определений «системы» их авторы включают понятия «элемент»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«часть»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«составляющая». В.Н. Садовский приводит около 40 определений понятия «система»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среди которых одним из самых простых и наиболее емких является определение основоположника общей теории систем Л. Берталанфи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дефинирующего понятие «система» как комплекс взаимодействующих элементов [11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77—106]. Элементы представляют собой отдельные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неразложимые компоненты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те минимальные составляющие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без которых существование любой системы невозможно. Структура — это совокупность устойчивых отношений и связей между элементами. Отношения элементов и структуры определяют все важнейшие свойства системы и ее качества в целом.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современной науке все существующие системы условно подразделяются на замкнутые и открытые. Г. Хакен и И. Пригожин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рассматривая проблему процессуальности в материальных системах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впервые отделили процессы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протекающие в замкнутых системах и ведущие к установлению равновесного состояния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при определенных условиях начинает стремиться к максимальной неупорядоченности или хаосу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процессы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протекающие в открытых системах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которых могут самопроизвольно возникать упорядоченные структуры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ведущие к самоорганизации [12; 13]. Традиционная наука долгое время отдавала предпочтение изучению замкнутых систем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акцентируя внимания на их линейности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устойчивости и однородности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обеспечивают стабильность подобных систем.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Новая научная дисциплина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названная «синергетикой»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все внимание сосредотачивает на открытых системах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характеризующихся неупорядоченностью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неустойчивостью и нелинейным характером возникающих в них отношений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постоянно стремящихся тем не менее к самоорганизации и упорядоченности.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Давно известны попытки рассмотрения процесса самоорганизации в открытых системах педагогического характера. Т.С. Назарова и В.С.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Шаповаленко пишут об этом в своей статье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отмечая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хорошо знакома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склонность к самоорганизации и самоуправлению в детских и подростковых коллективах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при педагогически верном использовании может приносить положительные результаты (А.С.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Макаренко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С.Т. Шацкий). Механизмы режимов обострения постоянно появляются в учебно-воспитательном процессе и могут быть объяснены с позиции синергетики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позволяющей глубже понять суть возникающих неординарных ситуаций [14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28]. Новый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обобщающий взгляд на мир с позиции синергетики или теории самоорганизации позволяет соединить мировоззренческие позиции естествознания и гуманитарных наук и сохранить тем самым целостность научного знания.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Многие авторы (Е.Н. Князева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С.П. Курдюмов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В.Г. Виненко) развивают идею существования логико-понятийной и методологической преемственности между традиционными системными исследованиями и синергетикой [14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26]. Данное положение позволяет сделать важные для нашего исследования выводы: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Процесс развития и обновления методики как науки может в дальнейшем происходить за счет исследования систем разного типа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замкнутых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открытых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находящихся в кризисном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переходном состоянии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сосуществуют и дополняют друг друга.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Отечественная образовательная система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включая языковое образование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долгое время рассматривалась в нашей стране с позиций единообразия и эгалитарной идеи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все обучающиеся считались равными с 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представляла собой закрытую образовательную систему. В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настоящее время она находится в состоянии перехода от системы замкнутого типа к открытой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присущей демократическому обществу.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В открытой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личностно ориентированной образовательной системе субъект образовательного процесса является элементом этой системы и приобретает важнейшее свойство системы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есть выступает в данном случае как самоорганизующаяся личность.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Самоорганизующаяся личность принимает всю ответственность за организацию и результаты своего самообучения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есть ее учебная деятельность носит не просто самостоятельный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в большей или меньшей степени автономный характер.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В условиях открытой образовательной системы объектом исследования в теории самообучения является самоорганизующаяся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автономная учебная деятельность обучающегося.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Объект исследования в теории самообучения ИЯ — это самоорганизующаяся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автономная учебная деятельность обучающегося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нацеленная на овладение ИЯ.</w:t>
      </w:r>
    </w:p>
    <w:p w:rsidR="008868E9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обращение к рассмотрению объекта исследования в теории самообучения ИЯ показывает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он является сложным системным образованием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сущность которого с позиции синергетического подхода представляет собой самоорганизующуюся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автономную учебную деятельность обучающегося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нацеленную на овладение ИЯ. Главным условием осуществления подобной деятельности является открытое образование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призванное поддерживать приоритет свободного развития индивидуальности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возможности ее творческого самовыражения. Обучающийся понимается при этом как автор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инициирующий и организующий свой собственный самообразовательный процесс в рамках функционально ориентированной среды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обеспечивающей оптимальную реализацию индивидуальной самообразовательной траектории личности.</w:t>
      </w:r>
    </w:p>
    <w:p w:rsidR="008868E9" w:rsidRPr="00C0510E" w:rsidRDefault="008868E9" w:rsidP="008868E9">
      <w:pPr>
        <w:spacing w:before="120"/>
        <w:jc w:val="center"/>
        <w:rPr>
          <w:rFonts w:ascii="Times New Roman" w:hAnsi="Times New Roman"/>
          <w:b/>
          <w:sz w:val="28"/>
        </w:rPr>
      </w:pPr>
      <w:r w:rsidRPr="00C0510E">
        <w:rPr>
          <w:rFonts w:ascii="Times New Roman" w:hAnsi="Times New Roman"/>
          <w:b/>
          <w:sz w:val="28"/>
        </w:rPr>
        <w:t>Список литературы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Садовников Н.В. Фундаментализация современного вузовского образования // Педагогика. 2005.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7. С. 49—54.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Новиков А.М. Научно-экспериментальная работа в образовательном учреждении. М.: АПО РАО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1998.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Пидкасистый П.И. Требования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предъявляемые к обучающимся в вузах // Педагогика. 2005.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3. С. 47—52.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Еремина Е.И. Влияние самообучения на развитие творческой активности будущего специалиста: Автореф. дис. … канд. пед. наук. Воронеж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2000.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Тамбовкина Т.Ю. Самообучение иностранному языку как основная составляющая языкового самообразования // Иностранные языки в школе. 2005.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5. С. 76—80; Взаимоотношение компетенций самообразования и самообучения иностранным языкам // Язык. Человек. Общество: Международный сборник научных трудов. Санкт-Петербург; Владимир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2005. С. 359—366.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Околелов О.П. Дидактическая специфика открытого образования // Педагогика. 2001.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9. С. 45—51.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Куринский А.В. Автодидактика: Часть первая. СПб.: СПбГУ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 395 с.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Репьев Ю.Г. Интерактивное самообучение: Монография. М.: Логос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2004.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Днепров С.А. Технология автодидактики // Пайдея: Журнал педагогических инноваций и технологий. Екатеринбург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1997. Вып. 1. С. 60—73.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Проблемы уровней и систем в научном познании. Минск: Наука и техника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1970.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Садовский В.Н. Основания общей теории систем: Логико-методологический анализ.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1974.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Хакен Г. Синергетика.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1980.</w:t>
      </w:r>
    </w:p>
    <w:p w:rsidR="008868E9" w:rsidRPr="00D95230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Пригожин И.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Стенгерс И. Порядок из хаоса.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1986.</w:t>
      </w:r>
    </w:p>
    <w:p w:rsidR="008868E9" w:rsidRDefault="008868E9" w:rsidP="008868E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Назарова Т.С.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Шаповаленко В.С. «Синергетический синдром» в педагогике // Педагогика. 2001.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9. С. 25—33.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E9"/>
    <w:rsid w:val="000102E8"/>
    <w:rsid w:val="0016640D"/>
    <w:rsid w:val="001A35F6"/>
    <w:rsid w:val="00811DD4"/>
    <w:rsid w:val="008868E9"/>
    <w:rsid w:val="00C0510E"/>
    <w:rsid w:val="00D92313"/>
    <w:rsid w:val="00D95230"/>
    <w:rsid w:val="00F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4FF11C-5851-421A-9008-B7149A1E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E9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68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объекте исследования  в теории самообучения иностранным языкам  с позиции синергетики</vt:lpstr>
    </vt:vector>
  </TitlesOfParts>
  <Company>Home</Company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объекте исследования  в теории самообучения иностранным языкам  с позиции синергетики</dc:title>
  <dc:subject/>
  <dc:creator>User</dc:creator>
  <cp:keywords/>
  <dc:description/>
  <cp:lastModifiedBy>admin</cp:lastModifiedBy>
  <cp:revision>2</cp:revision>
  <dcterms:created xsi:type="dcterms:W3CDTF">2014-02-20T05:16:00Z</dcterms:created>
  <dcterms:modified xsi:type="dcterms:W3CDTF">2014-02-20T05:16:00Z</dcterms:modified>
</cp:coreProperties>
</file>