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1C" w:rsidRPr="009070CD" w:rsidRDefault="0085291C" w:rsidP="0085291C">
      <w:pPr>
        <w:spacing w:before="120"/>
        <w:jc w:val="center"/>
        <w:rPr>
          <w:b/>
          <w:bCs/>
          <w:sz w:val="32"/>
          <w:szCs w:val="32"/>
        </w:rPr>
      </w:pPr>
      <w:r w:rsidRPr="009070CD">
        <w:rPr>
          <w:b/>
          <w:bCs/>
          <w:sz w:val="32"/>
          <w:szCs w:val="32"/>
        </w:rPr>
        <w:t>Обзор основных методов оценки стоимости брендов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В рамках доходного подхода при оценке товарных знаков традиционно выделяются следующие основные методы: - метод дисконтированных будущих прибылей; - метод освобождения от роялти; - метод преимущества в прибылях.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Метод дисконтированных будущих прибылей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Основываясь на этом методе, оценщик приводит прогнозируемые доходы, генерируемые брендом, по соответствующей ставке дисконта к чистой текущей стоимости.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Оценка бренда включает в себя три элемента: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анализ рынка (с целью определить условия, в которых функционирует компания - владелец бренда, и уровень конкурентной борьбы);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финансовый анализ для идентификации доходов, создаваемых тем бизнесом, который использует бренд. Необходимо установить поступления, относящиеся к маркированному данным товарным знаком продукту, и выявить долю доходов, обеспеченную непосредственно брендом, - добавочную стоимость, принесенную именно брендом. Для этой цели компанией Brand Finance разработан метод Brand Value Added™;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определение рисков, связанных с брендом, для определения ставки дисконта.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Нужно определить не только потенциал бренда, необходимый для создания прибыли, но и вероятность получения прибыли и риск возможных убытков. Как следствие, должен быть осуществлен точный расчет размера ставки дисконта.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Компанией Brand Finance разработана особая методика расчета ставки дисконта через так называемую brendbeta™.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Для дисконтирования потока доходов используется ставка дисконта, рассчитанная по формуле: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R = Rf + brendbeta x (Rm - Rf), </w:t>
      </w:r>
    </w:p>
    <w:p w:rsidR="0085291C" w:rsidRDefault="0085291C" w:rsidP="0085291C">
      <w:pPr>
        <w:spacing w:before="120"/>
        <w:ind w:firstLine="567"/>
        <w:jc w:val="both"/>
      </w:pPr>
      <w:r w:rsidRPr="009070CD">
        <w:t xml:space="preserve">где: </w:t>
      </w:r>
    </w:p>
    <w:p w:rsidR="0085291C" w:rsidRDefault="0085291C" w:rsidP="0085291C">
      <w:pPr>
        <w:spacing w:before="120"/>
        <w:ind w:firstLine="567"/>
        <w:jc w:val="both"/>
      </w:pPr>
      <w:r w:rsidRPr="009070CD">
        <w:t xml:space="preserve">Rf - безрисковая ставка;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Rm - среднерыночная ставка доходности.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Первая часть формулы - это безрисковая ставка. Она корректируется с учетом коэффициента, исчисленного с помощью метода brendbeta™ и определенного для каждого бренда индивидуально. </w:t>
      </w:r>
    </w:p>
    <w:p w:rsidR="0085291C" w:rsidRPr="009070CD" w:rsidRDefault="00A81039" w:rsidP="0085291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89.75pt;height:252.75pt">
            <v:imagedata r:id="rId4" o:title=""/>
          </v:shape>
        </w:pic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Вторая часть формулы - это расчет премии за риск. При расчете brendbeta оценщик сначала определяет рейтинг бренда по специальной таблице экспертным путем (в баллах):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Каждый знак получает рейтинг в интервале от 0 до 100 баллов. Сам процесс ранжирования бренда можно сравнить с обычными кредитными рейтингами, в соответствии с которыми банки определяют кредитоспособность клиента и ставку, под которую ему будут ссужены средства.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Рейтинг товарного знака</w:t>
      </w:r>
    </w:p>
    <w:p w:rsidR="0085291C" w:rsidRPr="009070CD" w:rsidRDefault="00A81039" w:rsidP="0085291C">
      <w:pPr>
        <w:spacing w:before="120"/>
        <w:ind w:firstLine="567"/>
        <w:jc w:val="both"/>
      </w:pPr>
      <w:r>
        <w:pict>
          <v:shape id="_x0000_i1036" type="#_x0000_t75" style="width:188.25pt;height:261pt">
            <v:imagedata r:id="rId5" o:title=""/>
          </v:shape>
        </w:pic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Соответственно, средний товарный знак, то есть получивший рейтинг в 50 баллов, получит и среднюю составную ставку дисконта для данного сектора рынка на данном национальном рынке, тогда как бренд, получивший 100 баллов, теоретически является безрисковым и должен дисконтироваться по безрисковой ставке. Однако в реальности существование такого бренда практически невозможно.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Оценка 0 означает наивысшую ставку дисконта с удвоением той надбавки, что была сделана к безрисковой ставке заимствования.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Предлагаемый график иллюстрируют метод brendbeta™.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Ось BrendBeta</w:t>
      </w:r>
    </w:p>
    <w:p w:rsidR="0085291C" w:rsidRPr="009070CD" w:rsidRDefault="00A81039" w:rsidP="0085291C">
      <w:pPr>
        <w:spacing w:before="120"/>
        <w:ind w:firstLine="567"/>
        <w:jc w:val="both"/>
      </w:pPr>
      <w:r>
        <w:pict>
          <v:shape id="_x0000_i1039" type="#_x0000_t75" style="width:225pt;height:188.25pt">
            <v:imagedata r:id="rId6" o:title=""/>
          </v:shape>
        </w:pic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Чем сильнее бренд, тем выше его индекс значимости. brendbeta определяется по следующей формуле: 2-0,02 х балл индекса значимости товарного знака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Таким образом, к безрисковой ставке дисконтирования прибавляется премия за риск, рассчитанная путем умножения премии за риск на коэффициент brendbeta™, соответствующий оценке (рейтингу) бренда.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Метод освобождения от роялти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Фактически метод освобождения от роялти (Royalty Relief Method) является комбинацией сравнительного и доходного методов. Основой метода является предположение о том, что если бы компания использовала бренд по договору лицензии или франчайзинга, то она должна была бы выплачивать лицензиару (владельцу лицензии) некоторый процент - роялти. Поскольку оцениваемый бренд является собственностью компании, то роялти капитализирует сама компания. Сумма дисконтированных потенциальных роялти является оценкой стоимости бренда.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Значение ставки роялти определяется экспертным путем посредством выбора наиболее вероятной ставки в случае продажи лицензии на использование бренда среди соответствующих отраслевых показателей, ставок для похожих компаний, брендов, условий сделок и т. п. Чаще всего статистика располагает ставками роялти, рассчитываемыми от операционной прибыли до налогообложения; также бывают ставки по денежному и натуральному объему проданной продукции. В таблице (ТАБЛИЦА 4) приведены примеры ставок роялти для различных отраслей.</w:t>
      </w:r>
    </w:p>
    <w:p w:rsidR="0085291C" w:rsidRDefault="0085291C" w:rsidP="0085291C">
      <w:pPr>
        <w:spacing w:before="120"/>
        <w:ind w:firstLine="567"/>
        <w:jc w:val="both"/>
      </w:pPr>
      <w:r w:rsidRPr="009070CD">
        <w:t xml:space="preserve">Таблица 4.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Значение отраслевых роялти1</w:t>
      </w:r>
    </w:p>
    <w:p w:rsidR="0085291C" w:rsidRPr="009070CD" w:rsidRDefault="00A81039" w:rsidP="0085291C">
      <w:pPr>
        <w:spacing w:before="120"/>
        <w:ind w:firstLine="567"/>
        <w:jc w:val="both"/>
      </w:pPr>
      <w:r>
        <w:pict>
          <v:shape id="_x0000_i1042" type="#_x0000_t75" style="width:190.5pt;height:213.75pt">
            <v:imagedata r:id="rId7" o:title=""/>
          </v:shape>
        </w:pic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Денежные доходы бренда, получаемые от выплат в виде роялти в каждый отрезок прогнозируемого периода, находят путем умножения величины операционной прибыли до налогообложения на ставку роялти. Теоретически в качестве показателя дохода можно было бы выбрать прибыль после налогообложения, однако тогда это необходимо было бы учесть и в ставке роялти. Вероятность подбора корректного значения ставки роялти снизилась бы многократно, поскольку довольно сложно подобрать компании с одинаковой структурой капитала, одинаково платящих налоги и т. п.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Из полученных доходов вычитаются все расходы на поддержание и развитие бренда. Полученные потоки прибыли дисконтируются либо капитализируются (в случае равновеликих потоков в течение всего времени действия "лицензии на использование бренда" это упрощенный вариант). Величина ставки капитализации обычно находится в интервале от 20% до 50%. Ставка дисконта определяется в зависимости от отраслевых и индивидуальных рисков. Чистая приведенная стоимость бренда определяется путем суммирования приведенных потоков и продленного потока.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Метод освобождения от роялти обладает рядом недостатков. Во-первых, практическое применение этого метода осложняется тем, что в отраслевой статистике (как в России, так и на Западе) довольно сложно найти такую ставку роялти, которая наиболее полным образом содержала бы в себе все параметры оцениваемого бренда (брендированного бизнеса). Чаще всего величина ставки содержит в себе плату за использование патентов, лицензий, совместное осуществление расходов. Иногда ставки зависят от текущих условий рынка. Большинство компаний, применяющих метод освобождения от роялти, либо имеют доступ к таким данным, либо используют свою собственную накопленную базу данных. Именно поэтому этот метод распространен среди оценщиков.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Во-вторых, расчет стоимости бренда с помощью данного метода мало полезен для целей управления брендом и его стоимостью. Полученная величина стоимости не отражает в себе уникальную ценность конкретного бренда, а лишь копирует достоинства и недостатки бренда-аналога. В большинстве случаев метод используют тогда, когда ставку роялти оказывается определить проще, чем стоимость оцениваемого актива.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Метод преимущества в прибылях (Premium Profit)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Метод основан на том, что брендированный товар продается дороже аналогичного немаркированного.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Схема расчета стоимости товарного знака или бренда данным методом такова: разница в цене умножается на прогнозируемые объемы продаж брендированного товара (в натуральном выражении) за время жизненного цикла товара. Это и будет стоимость бренда.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В редком случае, когда брендированный и небрендированный товары продаются по одной цене, стоимость бренда определяется на основе разницы в объеме продаж этих товаров в денежном выражении.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Главный недостаток этого метода - сложность нахождения небрендированного аналога, а также влияние на ценовую разницу вариации цен в разных регионах, или сезонных колебаний, или других факторов.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Метод оценки стоимости бренда компании Interbrand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Компания Interbrand является одним из лидеров западного рынка в области оценки стоимости брендов. Совместно с Citigroup2 Interbrand ежегодно готовит и публикует рейтинг 100 самых "дорогих" брендов мира. Обязательным условием попадания в рейтинг является глобальный масштаб операций компании и достаточное количество информации о ней. Первое условие обусловлено методикой оценки Interbrand, которая в настоящее время не применима к локальным брендам. Из-за второго условия рейтинг не является всеобъемлющим: в него не входят, например, такие крупные бренды, как VISA, BBC, Mars и CNN. Помимо рейтинга самих брендов, отдельно готовится рейтинг компаний, владеющих портфелем брендов, таких, как P&amp;G, Unilever, L`Oreal и т. п.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Модель оценки стоимости бренда (Brand Valuation Model) компании Interbrand основана на методе чистой приведенной стоимости бренда и состоит из четырех последовательных этапов3.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1) На первом этапе (Financial Forecasting) прогнозируется денежный поток, который создается всеми нематериальными активами (НМА). Расчет денежного потока производится следующим образом: прогнозируемые совокупные доходы уменьшаются на операционные расходы. Из полученной операционной прибыли вычитается произведение величины капитала, который был бы необходим для производства аналогичного по свойствам небрендированного товара, и безрисковой ставки доходности.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EarningsIntA = Operating Profit After Tax - [Capital Employed * Risk free rate ],</w:t>
      </w:r>
    </w:p>
    <w:p w:rsidR="0085291C" w:rsidRDefault="0085291C" w:rsidP="0085291C">
      <w:pPr>
        <w:spacing w:before="120"/>
        <w:ind w:firstLine="567"/>
        <w:jc w:val="both"/>
      </w:pPr>
      <w:r w:rsidRPr="009070CD">
        <w:t xml:space="preserve">где: </w:t>
      </w:r>
    </w:p>
    <w:p w:rsidR="0085291C" w:rsidRDefault="0085291C" w:rsidP="0085291C">
      <w:pPr>
        <w:spacing w:before="120"/>
        <w:ind w:firstLine="567"/>
        <w:jc w:val="both"/>
      </w:pPr>
      <w:r w:rsidRPr="009070CD">
        <w:t xml:space="preserve">Earnings - добавленная прибыль нематериальных активов; </w:t>
      </w:r>
    </w:p>
    <w:p w:rsidR="0085291C" w:rsidRDefault="0085291C" w:rsidP="0085291C">
      <w:pPr>
        <w:spacing w:before="120"/>
        <w:ind w:firstLine="567"/>
        <w:jc w:val="both"/>
      </w:pPr>
      <w:r w:rsidRPr="009070CD">
        <w:t>IntA - Intangible Assets - нематериальные активы;</w:t>
      </w:r>
    </w:p>
    <w:p w:rsidR="0085291C" w:rsidRDefault="0085291C" w:rsidP="0085291C">
      <w:pPr>
        <w:spacing w:before="120"/>
        <w:ind w:firstLine="567"/>
        <w:jc w:val="both"/>
      </w:pPr>
      <w:r w:rsidRPr="009070CD">
        <w:t>Operating Profit After Tax - операционная прибыль за вычетом налогов;</w:t>
      </w:r>
    </w:p>
    <w:p w:rsidR="0085291C" w:rsidRDefault="0085291C" w:rsidP="0085291C">
      <w:pPr>
        <w:spacing w:before="120"/>
        <w:ind w:firstLine="567"/>
        <w:jc w:val="both"/>
      </w:pPr>
      <w:r w:rsidRPr="009070CD">
        <w:t>Capital Employed - задействованный капитал;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Risk Free Rate - безрисковая ставка доходности.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На втором слагаемом остановимся подробнее. Принципиальный его смысл заключается в том, чтобы отделить прибыль, создаваемую нематериальными активами, в том числе брендом, от прибыли, создаваемой физическим капиталом. Для расчета величины задействованного капитала (Capital Employed) используется среднеотраслевой показатель отношения задействованного в отрасли капитала к какому-либо показателю дохода. В официально представленных материалах используется Capital-Employed-to-Sales-Ratio. Умножая это соотношение на объем продаж оцениваемой компании, получим искомое значение, которое признается "естественным" для производства небрендированной продукции.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За уровень доходности работы материальных факторов Interbrand принимает безрисковую ставку доходности государственных казначейских облигаций. Экономический смысл этой ставки заключен в следующем: такую доходность принесут данные материальные активы, если они будут работать без использования какого бы то ни было нематериального капитала. Говоря простым языком: сколько получит владелец материальных средств, если они будут работать практически сами по себе.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2) На втором этапе (Role of Branding) в денежном потоке, созданном нематериальными активами, выделяется доля, созданная именно брендом. Для этого определяется, в какой степени бренд воздействует на ключевые факторы спроса. Расчет производится в процентном соотношении.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3) Третий этап (Brand Risk). Анализ бренд-риска позволяет определить норму, по которой прогнозируемый доход дисконтируется к его чистой текущей стоимости. Ставка дисконта основана на безрисковой ставке, представляющей собой доходность по государственным облигациям на прогнозный период, и на премии, определяемой на основе анализа силы бренда (Brand Strength), которую характеризуют семь специальных показателей, приведенных ниже (Таблица 5).</w:t>
      </w:r>
    </w:p>
    <w:p w:rsidR="0085291C" w:rsidRDefault="0085291C" w:rsidP="0085291C">
      <w:pPr>
        <w:spacing w:before="120"/>
        <w:ind w:firstLine="567"/>
        <w:jc w:val="both"/>
      </w:pPr>
      <w:r w:rsidRPr="009070CD">
        <w:t>Таблица 5.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Критерии для расчета индекса силы бренда</w:t>
      </w:r>
    </w:p>
    <w:p w:rsidR="0085291C" w:rsidRPr="009070CD" w:rsidRDefault="00A81039" w:rsidP="0085291C">
      <w:pPr>
        <w:spacing w:before="120"/>
        <w:ind w:firstLine="567"/>
        <w:jc w:val="both"/>
      </w:pPr>
      <w:r>
        <w:pict>
          <v:shape id="_x0000_i1045" type="#_x0000_t75" style="width:189.75pt;height:282pt">
            <v:imagedata r:id="rId8" o:title=""/>
          </v:shape>
        </w:pic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Оценка бренда с позиции каждого из семи критериев формирует так называемый индекс силы бренда, максимальное значение которого достигает 100 баллов. Далее с помощью некой S-образной кривой (ее уравнение является интеллектуальной собственностью компании Interbrand), отражающей связь между бренд-мультипликатором (ставкой дисконта) и индексом силы бренда, определяется соответствующая полученному индексу ставка. На графике (График 2) видно, что бренд-мультипликатор самого сильного бренда (100 баллов) равен 20, а у самого слабого он стремится к 0.</w:t>
      </w:r>
    </w:p>
    <w:p w:rsidR="0085291C" w:rsidRDefault="0085291C" w:rsidP="0085291C">
      <w:pPr>
        <w:spacing w:before="120"/>
        <w:ind w:firstLine="567"/>
        <w:jc w:val="both"/>
      </w:pPr>
      <w:r w:rsidRPr="009070CD">
        <w:t>График 2.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S-образная кривая компании INTERBRAND4</w:t>
      </w:r>
    </w:p>
    <w:p w:rsidR="0085291C" w:rsidRPr="009070CD" w:rsidRDefault="00A81039" w:rsidP="0085291C">
      <w:pPr>
        <w:spacing w:before="120"/>
        <w:ind w:firstLine="567"/>
        <w:jc w:val="both"/>
      </w:pPr>
      <w:r>
        <w:pict>
          <v:shape id="_x0000_i1048" type="#_x0000_t75" style="width:261pt;height:169.5pt">
            <v:imagedata r:id="rId9" o:title=""/>
          </v:shape>
        </w:pic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4) Последний этап (Brand Value Calculation) заключается в расчете стоимости бренда. Она равна произведению добавленной стоимости бренда и бренд-мультипликатора.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Главным достоинством методики компании Interbrand является то, что она предлагает финансовую оценку стоимости бренда. Когда в 1989 году компания впервые опубликовала рейтинг самых дорогих брендов мира, она сразу же была замечена в финансовых и маркетинговых кругах. До этого все множество оценок было представлено нефинансовыми метриками и являлось вариациями метода Brand Equity. Interbrand сумела выразить абстрактную силу бренда в денежной форме, за что ее оценки были признаны и приняты менеджерами многих компаний.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Нетрудно заметить, что формула расчета стоимости, который создают нематериальные активы, напоминает расчет финансового показателя экономической добавленной стоимости. Это сходство содержит в себе значительный потенциал использования оценки Interbrand в финансовом анализе деятельности компании. Многие исследователи обращают на это внимание, однако, в силу закрытости и непрозрачности методики Interbrand достаточно трудно провести качественный анализ связи между этими двумя показателями.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Если быть совсем точным, то формула расчета денежного потока, создаваемая нематериальными активами, больше походит на расчет экономической прибыли, поскольку в слагаемых выражения не учитываются корректирующие статьи (эквиваленты собственного капитала) (Диаграмма 1).</w:t>
      </w:r>
    </w:p>
    <w:p w:rsidR="0085291C" w:rsidRDefault="0085291C" w:rsidP="0085291C">
      <w:pPr>
        <w:spacing w:before="120"/>
        <w:ind w:firstLine="567"/>
        <w:jc w:val="both"/>
      </w:pPr>
      <w:r w:rsidRPr="009070CD">
        <w:t xml:space="preserve">Диаграмма 1.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Соотношение бухгалтерской, экономической прибыли и EVA™ </w:t>
      </w:r>
    </w:p>
    <w:p w:rsidR="0085291C" w:rsidRPr="009070CD" w:rsidRDefault="00A81039" w:rsidP="0085291C">
      <w:pPr>
        <w:spacing w:before="120"/>
        <w:ind w:firstLine="567"/>
        <w:jc w:val="both"/>
      </w:pPr>
      <w:r>
        <w:pict>
          <v:shape id="_x0000_i1051" type="#_x0000_t75" style="width:375pt;height:164.25pt">
            <v:imagedata r:id="rId10" o:title=""/>
          </v:shape>
        </w:pic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Отражая методологию расчета экономической прибыли, оценка стоимости бренда по методике Interbrand несет в себе достоинства и недостатки этой финансовой метрики. К последним относится то, что метрика отражает прошлые (в доходах) и текущие (в доходах и расходах) результаты деятельности компании, в то время как стоимость должна оценивать будущее. На практике этот недостаток проявляется в сильных колебаниях стоимости брендов от года к году, чего в действительности быть не должно.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Теоретически бренд-мультипликатор должен отражать будущие возможности бренда, однако, ввиду секретности формулы его нахождения, вопрос о корректности оценки будущей стоимости брендов компания Interbrand оставляет открытым.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К другим недостаткам методики относятся неточности и приближения в структуре построения оценки, а также ее экономическая нецелесообразность для принятия управленческих маркетинговых решений.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 xml:space="preserve">Противоречие возникает, если сравнить экономическую прибыль компании за период и денежный поток, генерируемый нематериальными активами и рассчитанный по методике Interbrand, за этот же период. Поскольку стоимость капитала компании не может быть ниже доходности по государственным облигациям, получается, что экономическая прибыль компании в целом будет меньше, чем денежный поток от работы нематериальных активов, что в действительности невозможно. 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Также в модели заложено, что бренд и материальные активы существуют как бы в разных параллелях, а это довольно спорное утверждение. Бренд в большинстве случаев не существует отдельно от продукта. Потребитель ассоциирует торговую марку не только с определенным стилем, ожиданиями, опытом, но и качеством товара, качеством материала, из которого он сделан. Отделяя материальные активы от бренда, модель тем самым занижает стоимость бренда.</w:t>
      </w:r>
    </w:p>
    <w:p w:rsidR="0085291C" w:rsidRPr="009070CD" w:rsidRDefault="0085291C" w:rsidP="0085291C">
      <w:pPr>
        <w:spacing w:before="120"/>
        <w:ind w:firstLine="567"/>
        <w:jc w:val="both"/>
      </w:pPr>
      <w:r w:rsidRPr="009070CD">
        <w:t>Наконец, в вину методике Interbrand ставят ee субъективный характер. И доля бренда в нематериальных активах, и ставка дисконтирования (бренд-мультипликатор) рассчитываются исходя из экспертных оценок. Кроме того, из-за субъективного характера стоимость бренда, оцененного по методу Interbrand, претерпевает значительные колебания, хотя бренд является довольно устойчивым активом.</w:t>
      </w:r>
    </w:p>
    <w:p w:rsidR="0085291C" w:rsidRDefault="0085291C" w:rsidP="0085291C">
      <w:pPr>
        <w:spacing w:before="120"/>
        <w:ind w:firstLine="567"/>
        <w:jc w:val="both"/>
        <w:rPr>
          <w:lang w:val="en-US"/>
        </w:rPr>
      </w:pPr>
      <w:r w:rsidRPr="009070CD">
        <w:t xml:space="preserve">Вопросы вызывают и критерии оценки бренда. Так, локальный бренд может лучше восприниматься потребителями и быть более прибыльным, чем интернациональный. Следовательно, он может создавать больший объем денежного потока. Условный характер носит и оценка инвестиций: понятно, что нет прямой связи между объемом расходов на развитие бренда и его стоимостью. </w:t>
      </w:r>
    </w:p>
    <w:p w:rsidR="0085291C" w:rsidRPr="009070CD" w:rsidRDefault="0085291C" w:rsidP="0085291C">
      <w:pPr>
        <w:spacing w:before="120"/>
        <w:jc w:val="center"/>
        <w:rPr>
          <w:b/>
          <w:bCs/>
          <w:sz w:val="28"/>
          <w:szCs w:val="28"/>
        </w:rPr>
      </w:pPr>
      <w:r w:rsidRPr="009070CD">
        <w:rPr>
          <w:b/>
          <w:bCs/>
          <w:sz w:val="28"/>
          <w:szCs w:val="28"/>
        </w:rPr>
        <w:t>Список литературы</w:t>
      </w:r>
    </w:p>
    <w:p w:rsidR="0085291C" w:rsidRDefault="0085291C" w:rsidP="0085291C">
      <w:pPr>
        <w:spacing w:before="120"/>
        <w:ind w:firstLine="567"/>
        <w:jc w:val="both"/>
      </w:pPr>
      <w:r w:rsidRPr="009070CD">
        <w:t xml:space="preserve">1. Зайцев Ю.С. "Поправка к стандартным ставкам роялти на различие уровней рентабельности продукции лицензиатов и производителей в странах - источниках этих ставок". - Журнал "Московский оценщик" №1 (8), февраль 2001. </w:t>
      </w:r>
    </w:p>
    <w:p w:rsidR="0085291C" w:rsidRDefault="0085291C" w:rsidP="0085291C">
      <w:pPr>
        <w:spacing w:before="120"/>
        <w:ind w:firstLine="567"/>
        <w:jc w:val="both"/>
      </w:pPr>
      <w:r w:rsidRPr="009070CD">
        <w:t>2. Метод британской компании Interbrand существует в двух вариантах: Interbrand/Citigroup и Interbrand/Financial World. В первом случае Сitigroup только предоставляет информацию, а Interbrand готовит расчеты. Financial World самостоятельно рассчитывает стоимость брендов, используя "бренд-мультипликатор", который им предоставляет Interbrand. Фактически методы очень похожи между собой. В работе будет представлен метод Interbrand/Financial World.</w:t>
      </w:r>
    </w:p>
    <w:p w:rsidR="0085291C" w:rsidRPr="009070CD" w:rsidRDefault="0085291C" w:rsidP="0085291C">
      <w:pPr>
        <w:spacing w:before="120"/>
        <w:ind w:firstLine="567"/>
        <w:jc w:val="both"/>
        <w:rPr>
          <w:lang w:val="en-US"/>
        </w:rPr>
      </w:pPr>
      <w:r w:rsidRPr="009070CD">
        <w:rPr>
          <w:lang w:val="en-US"/>
        </w:rPr>
        <w:t>3. Interbrand World`s Most Valuable Brand`s 2001 Methodology. - Interbrand (www.interbrand.com).</w:t>
      </w:r>
    </w:p>
    <w:p w:rsidR="0085291C" w:rsidRPr="009070CD" w:rsidRDefault="0085291C" w:rsidP="0085291C">
      <w:pPr>
        <w:spacing w:before="120"/>
        <w:ind w:firstLine="567"/>
        <w:jc w:val="both"/>
        <w:rPr>
          <w:lang w:val="en-US"/>
        </w:rPr>
      </w:pPr>
      <w:r w:rsidRPr="009070CD">
        <w:rPr>
          <w:lang w:val="en-US"/>
        </w:rPr>
        <w:t>4. IEllwood Iain, The Essential Brand Book, Kogan Page, 2000.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291C"/>
    <w:rsid w:val="00051FB8"/>
    <w:rsid w:val="00095BA6"/>
    <w:rsid w:val="0031418A"/>
    <w:rsid w:val="00377A3D"/>
    <w:rsid w:val="005611F8"/>
    <w:rsid w:val="005A2562"/>
    <w:rsid w:val="00755964"/>
    <w:rsid w:val="0085291C"/>
    <w:rsid w:val="009070CD"/>
    <w:rsid w:val="009B7DC0"/>
    <w:rsid w:val="00A44D32"/>
    <w:rsid w:val="00A8103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F80F3101-CE94-4A1A-A99A-C74368B3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91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2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2440</Words>
  <Characters>13914</Characters>
  <Application>Microsoft Office Word</Application>
  <DocSecurity>0</DocSecurity>
  <Lines>115</Lines>
  <Paragraphs>32</Paragraphs>
  <ScaleCrop>false</ScaleCrop>
  <Company>Home</Company>
  <LinksUpToDate>false</LinksUpToDate>
  <CharactersWithSpaces>16322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основных методов оценки стоимости брендов</dc:title>
  <dc:subject/>
  <dc:creator>Alena</dc:creator>
  <cp:keywords/>
  <dc:description/>
  <cp:lastModifiedBy>admin</cp:lastModifiedBy>
  <cp:revision>2</cp:revision>
  <dcterms:created xsi:type="dcterms:W3CDTF">2014-02-18T11:26:00Z</dcterms:created>
  <dcterms:modified xsi:type="dcterms:W3CDTF">2014-02-18T11:26:00Z</dcterms:modified>
</cp:coreProperties>
</file>