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52C0" w:rsidRPr="00AF78F2" w:rsidRDefault="007D52C0" w:rsidP="007D52C0">
      <w:pPr>
        <w:spacing w:before="120"/>
        <w:jc w:val="center"/>
        <w:rPr>
          <w:b/>
          <w:bCs/>
        </w:rPr>
      </w:pPr>
      <w:r w:rsidRPr="00AF78F2">
        <w:rPr>
          <w:b/>
          <w:bCs/>
        </w:rPr>
        <w:t>Оценка адаптационных возможностей школьников к учебным нагрузкам</w:t>
      </w:r>
      <w:r w:rsidRPr="00AF78F2">
        <w:rPr>
          <w:rFonts w:ascii="Times New Roman" w:hAnsi="Times New Roman" w:cs="Times New Roman"/>
          <w:b/>
          <w:bCs/>
        </w:rPr>
        <w:t xml:space="preserve"> </w:t>
      </w:r>
      <w:r w:rsidRPr="00AF78F2">
        <w:rPr>
          <w:b/>
          <w:bCs/>
        </w:rPr>
        <w:t>по психофизиологическим показателям</w:t>
      </w:r>
    </w:p>
    <w:p w:rsidR="007D52C0" w:rsidRPr="00AF78F2" w:rsidRDefault="007D52C0" w:rsidP="007D52C0">
      <w:pPr>
        <w:spacing w:before="120"/>
        <w:jc w:val="center"/>
        <w:rPr>
          <w:sz w:val="28"/>
          <w:szCs w:val="28"/>
        </w:rPr>
      </w:pPr>
      <w:r w:rsidRPr="00AF78F2">
        <w:rPr>
          <w:sz w:val="28"/>
          <w:szCs w:val="28"/>
        </w:rPr>
        <w:t>Новоселова Е.И., Субхангулова Г.Г.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Увеличение умственных и эмоциональных нагрузок в школе предъявляет организму ребенка высокие требования. Большие информационные нагрузки длительное время воздействуют на организм школьника, интенсивность их в течение учебного года особенно велика в гимназических классах и усугубляется на фоне гиподинамии [1], значительного нервно-эмоционального напряжения, неблагоприятной экологической обстановки. Поэтому необходимо проведение комплексной оценки психофизиологического статуса школьников, а также уровня функционального резерва системы кровообращения, вегетативной нервной системы [2, 3]. Важным является определение диагностических критериев изменения состояния организма под влиянием учебных нагрузок в разные периоды онтогенеза, особенно в подростковом возрасте, для которого характерны напряжение деятельности многих функциональных систем и механизмов регуляции [4, 5], ограниченная возможность адаптации к изменениям внешней и внутренней среды [6].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Целью исследования явилось изучение состояния системы кровообращения, вегетативной нервной системы и индивидуально-типологических особенностей подростков, обучающихся в гимназическом классе, в динамике учебного года, выявление диагностических критериев влияния учебных нагрузок на организм школьника.</w:t>
      </w:r>
    </w:p>
    <w:p w:rsidR="007D52C0" w:rsidRPr="00AF78F2" w:rsidRDefault="007D52C0" w:rsidP="007D52C0">
      <w:pPr>
        <w:spacing w:before="120"/>
        <w:jc w:val="center"/>
        <w:rPr>
          <w:b/>
          <w:bCs/>
          <w:sz w:val="28"/>
          <w:szCs w:val="28"/>
        </w:rPr>
      </w:pPr>
      <w:r w:rsidRPr="00AF78F2">
        <w:rPr>
          <w:b/>
          <w:bCs/>
          <w:sz w:val="28"/>
          <w:szCs w:val="28"/>
        </w:rPr>
        <w:t>Методика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Обследованы 15 мальчиков и 15 девочек 13-14 лет гимназического класса средней школы № 7 г. Салавата. Критериями отбора были: отсутствие жалоб, органической патологии сердечно-сосудистой системы, ОРВИ в течение трех месяцев [7]. С целью диагностики психофизиологического состояния подростков в динамике учебного года обследование проводилось в сентябре, феврале и мае 1998/1999 г. Измеряли: артериальное давление (систолическое - САД и диастолическое – ДАД) в крови большого круга кровообращения по методу Короткова в мм рт. ст., частоту сердечных сокращений (ЧСС уд/мин) по пульсации в лучевой артерии, частоту дыхания в минуту (ЧД), рассчитывали вегетативный индекс Кердо (ВИК), коэффициент Хидьдебранта (кХ), минутный объем кровообращения (МОК, л/мин). Свойства нервной системы: возбуждение, торможение, уравновешенность, подвижность определяли по тесту Ян-Стреляу, акцентуации характера по тесту Шмишека [8]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Результаты обследования статистически обработаны с помощью пакета программ «Statgraphics».</w:t>
      </w:r>
    </w:p>
    <w:p w:rsidR="007D52C0" w:rsidRPr="00AF78F2" w:rsidRDefault="007D52C0" w:rsidP="007D52C0">
      <w:pPr>
        <w:spacing w:before="120"/>
        <w:jc w:val="center"/>
        <w:rPr>
          <w:b/>
          <w:bCs/>
          <w:sz w:val="28"/>
          <w:szCs w:val="28"/>
        </w:rPr>
      </w:pPr>
      <w:r w:rsidRPr="00AF78F2">
        <w:rPr>
          <w:b/>
          <w:bCs/>
          <w:sz w:val="28"/>
          <w:szCs w:val="28"/>
        </w:rPr>
        <w:t>Рез</w:t>
      </w:r>
      <w:r w:rsidRPr="00AF78F2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Pr="00AF78F2">
        <w:rPr>
          <w:b/>
          <w:bCs/>
          <w:sz w:val="28"/>
          <w:szCs w:val="28"/>
        </w:rPr>
        <w:t>льтаты исследований и их обсуждение</w:t>
      </w:r>
    </w:p>
    <w:p w:rsidR="007D52C0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Важнейшими характеристиками сердечной деятельности являются частота сердечных сокращений (ЧСС), минутный объем крови (МОК), артериальное давление (АД). Из них наиболее чутко реагирует на умственное и эмоциональное напряжение ЧСС [9]. Нами высокие значения ЧСС у подростков отмечены в начале и конце учебного года (табл. 1), что, вероятно, связано в начале года с эмоциональными реакциями организма на вхождение в учебный процесс, а в конце года - с нарастающим утомлением. У мальчиков эта зависимость носила достоверный характер. У девочек хотя и выявлена аналогичная закономерность, но достоверных изменений этого показателя в динамике учебного года не обнаружено, и ЧСС не превышала возрастных норм (табл. 2).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Таблица 1. Динамика показателей тонуса вегетативной нервной системы у подростков</w:t>
      </w:r>
    </w:p>
    <w:tbl>
      <w:tblPr>
        <w:tblW w:w="5000" w:type="pct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463"/>
        <w:gridCol w:w="2463"/>
        <w:gridCol w:w="2464"/>
        <w:gridCol w:w="2464"/>
      </w:tblGrid>
      <w:tr w:rsidR="007D52C0" w:rsidRPr="00AF78F2" w:rsidTr="00946DB5">
        <w:trPr>
          <w:trHeight w:val="380"/>
        </w:trPr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Показатели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Сентябрь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Февраль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Май</w:t>
            </w:r>
          </w:p>
        </w:tc>
      </w:tr>
      <w:tr w:rsidR="007D52C0" w:rsidRPr="00AF78F2" w:rsidTr="00946DB5"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САД    М±m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108,6±2,2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111,3±1,4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109,3±2,0</w:t>
            </w:r>
          </w:p>
        </w:tc>
      </w:tr>
      <w:tr w:rsidR="007D52C0" w:rsidRPr="00AF78F2" w:rsidTr="00946DB5"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ДАД    М±m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59,7±1,4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64,0±1,1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63,3±1,0</w:t>
            </w:r>
          </w:p>
        </w:tc>
      </w:tr>
      <w:tr w:rsidR="007D52C0" w:rsidRPr="00AF78F2" w:rsidTr="00946DB5"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ЧСС    М±m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80,3±3,0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73,0±1,5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81,6±2,6</w:t>
            </w:r>
          </w:p>
        </w:tc>
      </w:tr>
      <w:tr w:rsidR="007D52C0" w:rsidRPr="00AF78F2" w:rsidTr="00946DB5"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МОК   М±m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4,0±0,2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3,4±0,2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3,7±0,2</w:t>
            </w:r>
          </w:p>
        </w:tc>
      </w:tr>
      <w:tr w:rsidR="007D52C0" w:rsidRPr="00AF78F2" w:rsidTr="00946DB5"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КХ      М±m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4,2±0,2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2,9±0,1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3,8±0,2</w:t>
            </w:r>
          </w:p>
        </w:tc>
      </w:tr>
      <w:tr w:rsidR="007D52C0" w:rsidRPr="00AF78F2" w:rsidTr="00946DB5"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ЧД      М±m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19±0,5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25,7±0,8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21,8±0,7</w:t>
            </w:r>
          </w:p>
        </w:tc>
      </w:tr>
      <w:tr w:rsidR="007D52C0" w:rsidRPr="00AF78F2" w:rsidTr="00946DB5"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ВИК    М±m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21,2±3,5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11,0±3,4</w:t>
            </w:r>
          </w:p>
        </w:tc>
        <w:tc>
          <w:tcPr>
            <w:tcW w:w="125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19,5±3,0</w:t>
            </w:r>
          </w:p>
        </w:tc>
      </w:tr>
    </w:tbl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Таблица 2. Показатели тонуса вегетативной нервной системы и количества акцентуаций в динамике учебного года в зависимости от пола.</w:t>
      </w:r>
    </w:p>
    <w:tbl>
      <w:tblPr>
        <w:tblW w:w="5000" w:type="pct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435"/>
        <w:gridCol w:w="1188"/>
        <w:gridCol w:w="1188"/>
        <w:gridCol w:w="1188"/>
        <w:gridCol w:w="1188"/>
        <w:gridCol w:w="1188"/>
        <w:gridCol w:w="1188"/>
        <w:gridCol w:w="1188"/>
        <w:gridCol w:w="1188"/>
      </w:tblGrid>
      <w:tr w:rsidR="007D52C0" w:rsidRPr="00AF78F2" w:rsidTr="00946DB5">
        <w:trPr>
          <w:trHeight w:val="70"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Показатели</w:t>
            </w:r>
          </w:p>
        </w:tc>
        <w:tc>
          <w:tcPr>
            <w:tcW w:w="1071" w:type="pct"/>
            <w:gridSpan w:val="2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Показатели нормы (Тупицын, 1985)</w:t>
            </w:r>
          </w:p>
        </w:tc>
        <w:tc>
          <w:tcPr>
            <w:tcW w:w="1071" w:type="pct"/>
            <w:gridSpan w:val="2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Сентябрь</w:t>
            </w:r>
          </w:p>
        </w:tc>
        <w:tc>
          <w:tcPr>
            <w:tcW w:w="1071" w:type="pct"/>
            <w:gridSpan w:val="2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Февраль</w:t>
            </w:r>
          </w:p>
        </w:tc>
        <w:tc>
          <w:tcPr>
            <w:tcW w:w="1071" w:type="pct"/>
            <w:gridSpan w:val="2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Май</w:t>
            </w:r>
          </w:p>
        </w:tc>
      </w:tr>
      <w:tr w:rsidR="007D52C0" w:rsidRPr="00AF78F2" w:rsidTr="00946DB5">
        <w:trPr>
          <w:cantSplit/>
          <w:trHeight w:val="70"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Девочки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Мальчи-ки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Девочки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Мальчи-ки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Девочки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Мальчи-ки</w:t>
            </w:r>
          </w:p>
        </w:tc>
        <w:tc>
          <w:tcPr>
            <w:tcW w:w="536" w:type="pct"/>
            <w:tcBorders>
              <w:right w:val="nil"/>
            </w:tcBorders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Девочки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Мальчи-ки</w:t>
            </w:r>
          </w:p>
        </w:tc>
      </w:tr>
      <w:tr w:rsidR="007D52C0" w:rsidRPr="00AF78F2" w:rsidTr="00946DB5">
        <w:trPr>
          <w:cantSplit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САД М±m</w:t>
            </w: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105,4±2,1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108,4±3,0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103,3±2,3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114,0±3,2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108,0±2,2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114,7±1,2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103,3±2,1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115,3±2,6</w:t>
            </w:r>
          </w:p>
        </w:tc>
      </w:tr>
      <w:tr w:rsidR="007D52C0" w:rsidRPr="00AF78F2" w:rsidTr="00946DB5">
        <w:trPr>
          <w:cantSplit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ДАД М±m</w:t>
            </w: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59,5±0,8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57,9±1,0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57,3±1,5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60,2±2,2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61,3±0,9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66,7±1,9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60,0±1,0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66,7±1,3</w:t>
            </w:r>
          </w:p>
        </w:tc>
      </w:tr>
      <w:tr w:rsidR="007D52C0" w:rsidRPr="00AF78F2" w:rsidTr="00946DB5">
        <w:trPr>
          <w:cantSplit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ЧД М±m</w:t>
            </w: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18,8±0,7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19,2±0,6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25,1±1,4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26,3±0,6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21,2±0,9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22,5±1,0</w:t>
            </w:r>
          </w:p>
        </w:tc>
      </w:tr>
      <w:tr w:rsidR="007D52C0" w:rsidRPr="00AF78F2" w:rsidTr="00946DB5">
        <w:trPr>
          <w:cantSplit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ЧСС М±m</w:t>
            </w: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77,2±1,9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72,7±2,0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78,5±5,0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82,1±3,7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74,4±2,0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71,7±2,2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79,3±3,0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84,0±4,4</w:t>
            </w:r>
          </w:p>
        </w:tc>
      </w:tr>
      <w:tr w:rsidR="007D52C0" w:rsidRPr="00AF78F2" w:rsidTr="00946DB5">
        <w:trPr>
          <w:cantSplit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ВИК М±m</w:t>
            </w: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19,7±5,9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23,7±4,1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16,9±2,8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5,1±5,8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23,2±3,1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15,9±5,0</w:t>
            </w:r>
          </w:p>
        </w:tc>
      </w:tr>
      <w:tr w:rsidR="007D52C0" w:rsidRPr="00AF78F2" w:rsidTr="00946DB5">
        <w:trPr>
          <w:cantSplit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МОК М±m</w:t>
            </w: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3,74±0,2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3,98±1,8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3,50±0,3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4,46±0,3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3,47±0,2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3,30±0,2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3,40±0,2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4,05±0,3</w:t>
            </w:r>
          </w:p>
        </w:tc>
      </w:tr>
      <w:tr w:rsidR="007D52C0" w:rsidRPr="00AF78F2" w:rsidTr="00946DB5">
        <w:trPr>
          <w:cantSplit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Кол.Акцент М±m</w:t>
            </w: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3,7±0,1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2,9±0,1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3,6±0,2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2,2±0,1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4,9±0,1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3,0±0,1</w:t>
            </w:r>
          </w:p>
        </w:tc>
      </w:tr>
      <w:tr w:rsidR="007D52C0" w:rsidRPr="00AF78F2" w:rsidTr="00946DB5">
        <w:trPr>
          <w:cantSplit/>
        </w:trPr>
        <w:tc>
          <w:tcPr>
            <w:tcW w:w="71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КХ М±m</w:t>
            </w:r>
          </w:p>
        </w:tc>
        <w:tc>
          <w:tcPr>
            <w:tcW w:w="535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4,1±0,4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4,3±0,2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3,0±0,2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2,7±0,1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3,8±0,2</w:t>
            </w:r>
          </w:p>
        </w:tc>
        <w:tc>
          <w:tcPr>
            <w:tcW w:w="5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 xml:space="preserve">  3,8±0,2</w:t>
            </w:r>
          </w:p>
        </w:tc>
      </w:tr>
    </w:tbl>
    <w:p w:rsidR="007D52C0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 xml:space="preserve"> 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По нашим данным, увеличение МОК тесно связано с ростом ЧСС (сен. r=0,67; фев. r=0,60; май r=0,81, где r – коэффициент корреляции между этими показателями, при р</w:t>
      </w:r>
      <w:r w:rsidRPr="00AF78F2">
        <w:rPr>
          <w:rFonts w:ascii="Times New Roman" w:hAnsi="Times New Roman" w:cs="Times New Roman"/>
          <w:sz w:val="24"/>
          <w:szCs w:val="24"/>
        </w:rPr>
        <w:t></w:t>
      </w:r>
      <w:r w:rsidRPr="00AF78F2">
        <w:rPr>
          <w:sz w:val="24"/>
          <w:szCs w:val="24"/>
        </w:rPr>
        <w:t xml:space="preserve">0,05), что является неэкономичным для системы кровообращения [9, 2]. В течение учебного года этот показатель у девочек был ниже возрастной нормы и достоверно не менялся. Уменьшение МОК рассматривается [10] как проявление «принципа экономичности» функции кровообращения. У мальчиков в начале года МОК был выше возрастной нормы, к февралю достоверно понизился и к маю отмечалось вновь его повышение. Рост МОК - показатель напряженного функционирования сердечно-сосудистой системы и более напряженных процессов адаптации в начале года и утомления в конце. 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Достоверных изменений значения САД в динамике учебного года не наблюдалось как у девочек, так и у мальчиков, и эти величины находились в пределах возрастных норм (табл. 2). Анализ индивидуальных значений САД показал превышение возрастной нормы у 20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 мальчиков в сентябре, у 23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 в феврале и у 40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 в мае, и у 7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%, 10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%, 3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 девочек соответственно. ДАД имеет большое значение в оценке адаптации организма к учебному процессу. Нами отмечены колебания этого показателя в течение года (табл.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1) в основном за счет изменений ДАД у мальчиков (табл.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2), которое достоверно повышается в середине учебного года и сохраняется на этом уровне к окончанию учебы (74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 мальчиков). Аналогичная тенденция в динамике учебного года отмечается и у девочек (13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%). Стойкое повышение ДАД свидетельствует о гиподинамии и вызывает наклонность к системному спазму мелких сосудов [11], поэто-</w:t>
      </w:r>
      <w:r w:rsidRPr="00AF78F2">
        <w:rPr>
          <w:sz w:val="24"/>
          <w:szCs w:val="24"/>
        </w:rPr>
        <w:br w:type="column"/>
        <w:t>му ДАД можно использовать как один из диагностических показателей реакции организма школьников на учебные нагрузки.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Расчет ВИК показал выраженную активацию симпатического отдела ВНС у 13-летних подростков в течение учебного года. Более выраженным он был в сентябре, что является отражением эмоционального состояния; симпатикотония в мае - показатель утомления. У мальчиков симпатикотония в начале года была выше, чем у девочек, а в середине и в конце - ниже. Частота дыхания растет в течение учебного года, что характеризует степень психоэмоционального напряжения. У мальчиков ЧД была недостоверно выше по сравнению с девочками. Коэффициент Хильдебранта - показатель согласованности в деятельности висцеральных систем организма. Среднестатистические данные не показали отклонение этого показателя от нормы в течение года. Однако анализ индивидуальных значений выявил у 30</w:t>
      </w:r>
      <w:r>
        <w:rPr>
          <w:sz w:val="24"/>
          <w:szCs w:val="24"/>
        </w:rPr>
        <w:t xml:space="preserve"> </w:t>
      </w:r>
      <w:r w:rsidRPr="00AF78F2">
        <w:rPr>
          <w:sz w:val="24"/>
          <w:szCs w:val="24"/>
        </w:rPr>
        <w:t>% детей рассогласование в деятельности висцеральных систем в сентябре, у 43 % - в феврале и у 27 % - в мае (табл. 1). Нами не установлено достоверных различий в деятельности висцеральных систем мальчиков и девочек (табл. 2).</w:t>
      </w:r>
    </w:p>
    <w:p w:rsidR="007D52C0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 xml:space="preserve">Выявление свойств нервной системы у подростков показало наличие тенденции к росту возбудимости в течение года и подвижности к окончанию, хотя и в начале года уровень концентрации данных свойств был достаточно высок. В сентябре у детей отмечается неуравновешенность в сторону торможения, а к середине учебного года рост неуравновешенности в сторону возбуждения, к концу учебного года этот показатель сменяется на высокую уравновешенность (табл. 3). 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Таблица 3. Свойства нервной системы у подростков в годовой динамике.</w:t>
      </w:r>
    </w:p>
    <w:tbl>
      <w:tblPr>
        <w:tblW w:w="5000" w:type="pct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183"/>
        <w:gridCol w:w="1260"/>
        <w:gridCol w:w="1809"/>
        <w:gridCol w:w="1809"/>
        <w:gridCol w:w="1609"/>
        <w:gridCol w:w="2184"/>
      </w:tblGrid>
      <w:tr w:rsidR="007D52C0" w:rsidRPr="00AF78F2" w:rsidTr="00946DB5">
        <w:trPr>
          <w:cantSplit/>
        </w:trPr>
        <w:tc>
          <w:tcPr>
            <w:tcW w:w="1255" w:type="pct"/>
            <w:gridSpan w:val="2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Показатели</w:t>
            </w:r>
          </w:p>
        </w:tc>
        <w:tc>
          <w:tcPr>
            <w:tcW w:w="9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Возбудимость</w:t>
            </w:r>
          </w:p>
        </w:tc>
        <w:tc>
          <w:tcPr>
            <w:tcW w:w="9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Торможение</w:t>
            </w:r>
          </w:p>
        </w:tc>
        <w:tc>
          <w:tcPr>
            <w:tcW w:w="813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Подвижность</w:t>
            </w:r>
          </w:p>
        </w:tc>
        <w:tc>
          <w:tcPr>
            <w:tcW w:w="106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Уравновешенность</w:t>
            </w:r>
          </w:p>
        </w:tc>
      </w:tr>
      <w:tr w:rsidR="007D52C0" w:rsidRPr="00AF78F2" w:rsidTr="00946DB5">
        <w:trPr>
          <w:cantSplit/>
        </w:trPr>
        <w:tc>
          <w:tcPr>
            <w:tcW w:w="619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Сентябрь</w:t>
            </w:r>
          </w:p>
        </w:tc>
        <w:tc>
          <w:tcPr>
            <w:tcW w:w="6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Девочки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Мальчики</w:t>
            </w:r>
          </w:p>
        </w:tc>
        <w:tc>
          <w:tcPr>
            <w:tcW w:w="9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45,1±2,8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50,3±4,0</w:t>
            </w:r>
          </w:p>
        </w:tc>
        <w:tc>
          <w:tcPr>
            <w:tcW w:w="9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52,1±3,1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55,9±3,5</w:t>
            </w:r>
          </w:p>
        </w:tc>
        <w:tc>
          <w:tcPr>
            <w:tcW w:w="813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51,9±3,2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54,9±3,7</w:t>
            </w:r>
          </w:p>
        </w:tc>
        <w:tc>
          <w:tcPr>
            <w:tcW w:w="106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0,89±0,05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0,88±0,05</w:t>
            </w:r>
          </w:p>
        </w:tc>
      </w:tr>
      <w:tr w:rsidR="007D52C0" w:rsidRPr="00AF78F2" w:rsidTr="00946DB5">
        <w:trPr>
          <w:cantSplit/>
        </w:trPr>
        <w:tc>
          <w:tcPr>
            <w:tcW w:w="619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Февраль</w:t>
            </w:r>
          </w:p>
        </w:tc>
        <w:tc>
          <w:tcPr>
            <w:tcW w:w="6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Девочки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Мальчики</w:t>
            </w:r>
          </w:p>
        </w:tc>
        <w:tc>
          <w:tcPr>
            <w:tcW w:w="9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44,4±3,5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75,2±2,9</w:t>
            </w:r>
          </w:p>
        </w:tc>
        <w:tc>
          <w:tcPr>
            <w:tcW w:w="9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48,2±3,2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56,7±4,1</w:t>
            </w:r>
          </w:p>
        </w:tc>
        <w:tc>
          <w:tcPr>
            <w:tcW w:w="813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50,1±3,6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54,3±2,7</w:t>
            </w:r>
          </w:p>
        </w:tc>
        <w:tc>
          <w:tcPr>
            <w:tcW w:w="106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0,93±0,06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1,10±0,10</w:t>
            </w:r>
          </w:p>
        </w:tc>
      </w:tr>
      <w:tr w:rsidR="007D52C0" w:rsidRPr="00AF78F2" w:rsidTr="00946DB5">
        <w:trPr>
          <w:cantSplit/>
        </w:trPr>
        <w:tc>
          <w:tcPr>
            <w:tcW w:w="619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Май</w:t>
            </w:r>
          </w:p>
        </w:tc>
        <w:tc>
          <w:tcPr>
            <w:tcW w:w="6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Девочки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Мальчики</w:t>
            </w:r>
          </w:p>
        </w:tc>
        <w:tc>
          <w:tcPr>
            <w:tcW w:w="9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48,1±2,8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55,8±2,8</w:t>
            </w:r>
          </w:p>
        </w:tc>
        <w:tc>
          <w:tcPr>
            <w:tcW w:w="936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51,6±3,0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56,8±3,8</w:t>
            </w:r>
          </w:p>
        </w:tc>
        <w:tc>
          <w:tcPr>
            <w:tcW w:w="813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53,9±2,7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59,6±2,5</w:t>
            </w:r>
          </w:p>
        </w:tc>
        <w:tc>
          <w:tcPr>
            <w:tcW w:w="1060" w:type="pct"/>
          </w:tcPr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0,96±0,06</w:t>
            </w:r>
          </w:p>
          <w:p w:rsidR="007D52C0" w:rsidRPr="00AF78F2" w:rsidRDefault="007D52C0" w:rsidP="00946DB5">
            <w:pPr>
              <w:rPr>
                <w:sz w:val="24"/>
                <w:szCs w:val="24"/>
              </w:rPr>
            </w:pPr>
            <w:r w:rsidRPr="00AF78F2">
              <w:rPr>
                <w:sz w:val="24"/>
                <w:szCs w:val="24"/>
              </w:rPr>
              <w:t>1,04±0,08</w:t>
            </w:r>
          </w:p>
        </w:tc>
      </w:tr>
    </w:tbl>
    <w:p w:rsidR="007D52C0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Примечание: 42 балла - большой уровень данного свойства. Уравновешенность R - возбуждение/торможение. Чем ближе R к единице, тем выше степень уравновешенности: если R&gt;1, то преобладает неуравновешенность в сторону возбуждения, если R&lt;1 – в сторону торможения.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Нами не отмечено достоверных различий по возбуждению, торможению, подвижности и уравновешенности между мальчиками и девочками, однако наблюдается тенденция к повышению этих показателей у мальчиков. В середине учебного года у них проявляется неуравновешенность в сторону возбуждения, которая сохраняется и до окончания года, а у девочек в сторону торможения. В мае показатели возбуждения в обеих половых группах выше, чем в сентябре, увеличивается подвижность и тенденция к снижению торможения у девочек. Следовательно, мальчики к окончанию учебного года становятся более возбужденными и менее уравновешенными, чем девочки. Наличие положительных корреляций между САД, ДАД, МОК и возбудимостью нервной системы в конце учебного года (соответственно, г=0.57; г=0.44; г=0.55 при р&lt;0.005) свидетельствует о влиянии психоэмоционального фактора на функционирование сердечно-сосудистой системы. У подростков повышенная возбудимость в первую очередь влияет на АД.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 xml:space="preserve">Нами выявлена 100%-ая акцентуированность у школьников, которая сохранилась в течение года. К концу учебного года особенностью характера становится гипертимность (повышенное настроение, недисциплинированность, тенденция к доминированию, лидированию) по сравнению с началом учебного года и экзальтированность (демонстративность на уровне эмоций) в начале и в конце учебного года. К маю количество акцентуаций увеличивается, что является одним из прогностических признаков развития первичной артериальной гипертензии [12]. Для девочек в течение года характерна большая полиакцентуированность, которая к маю увеличивается в два раза. Наиболее яркими чертами характера у них являются эмоциональность и экзальтированность, выраженность которых к концу учебного года растет; также к ним добавляются акцентуации: циклотимность и гипертимность. 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Связь акцентуаций с показателями деятельности сердечно-сосудистой системы в динамике учебного года проявляется неоднозначно. У акцентуированных добросовестных подростков, по данным корреляционного анализа, в начале учебного года ЧСС ниже, чем у подростков, не обладающих этой характеристикой (соответственно г=-0.37 при р&lt;0.05). У возбудимых и экзальтированных подростков в начале года ДАД ниже (соответственно, г=-0,45; г=-0,39 при р=&lt;0.05), чем у подростков с меньшей выраженностью этих показателей, что свидетельствует о том, что ряд психологических реакций, возникающих в процессе учебы, направлен на минимизацию напряжения некоторых физиологических показателей. Однако в конце года повышенная возбудимость ведет к росту САД (г=0,40), ЧСС (г=0.54), симпатикотонии (г=0,43) и МОК (г=0.61) при р&lt;0.05.</w:t>
      </w:r>
    </w:p>
    <w:p w:rsidR="007D52C0" w:rsidRPr="00AF78F2" w:rsidRDefault="007D52C0" w:rsidP="007D52C0">
      <w:pPr>
        <w:spacing w:before="120"/>
        <w:jc w:val="center"/>
        <w:rPr>
          <w:b/>
          <w:bCs/>
          <w:sz w:val="28"/>
          <w:szCs w:val="28"/>
        </w:rPr>
      </w:pPr>
      <w:r w:rsidRPr="00AF78F2">
        <w:rPr>
          <w:b/>
          <w:bCs/>
          <w:sz w:val="28"/>
          <w:szCs w:val="28"/>
        </w:rPr>
        <w:t>Заключение</w:t>
      </w:r>
    </w:p>
    <w:p w:rsidR="007D52C0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Результаты проведенных исследований показывают, что не у всех учащихся адаптация к школьным нагрузкам протекает удовлетворительно. Выявлена симпатикотония и неэффективность работы системы кровообращения в начале и конце учебного года. К маю наблюдается нарастание утомления. Адаптация к учебной деятельности у мальчиков протекает более напряженно на фоне нарастающего преобладания процессов возбуждения в нервной системе при ослаблении активного торможения. У девочек проявляются большие нарушения вегетативного обеспечения деятельности, чем у мальчиков. Полиакцентуированность характера влияет на функциональное состояние системы кровообращения и некоторые из акцентуаций направлены на снижение напряжения функционирования ряда ее показателей. К концу года полиакцентуированность растет в обеих группах, причем у девочек больше, чем у мальчиков. В качестве диагностических критериев реакции организма школьников на учебные нагрузки можно использовать ЧСС, ДАД, МОК, ЧД, ВИК, полиакцентуированность характера.</w:t>
      </w:r>
    </w:p>
    <w:p w:rsidR="007D52C0" w:rsidRPr="00AF78F2" w:rsidRDefault="007D52C0" w:rsidP="007D52C0">
      <w:pPr>
        <w:spacing w:before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78F2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Тимощук Г.И., Мальцева Л.Н., Короткавич В.Н. Количественный подход к оценке психофизиологического состояния здоровья учащихся гимназии // Физиология человека. 1995. Т. 21. № 1. С. 110-114.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 xml:space="preserve">Федоров Б.М. Стресс, кардиологические аспекты // Физиология человека. 1997. Т. 23. № 2. С. 89-99. 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Баевский Р.М., Берсенева А.П., Вакулин В.К. и др. Оценка эффективности профилактических мероприятий на основе изменения адаптационного потенциала системы кровообращения // Зравоохранение Российской федерации. 1987. № 8. С. 6.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Бутова О.А., Бутов В.С. Морфофункциональные особенности организма подростков и типы приспособительных реакций системы вегетативной регуляции // Эколого-физиологические проблемы адаптации. VIII Межд. Симпозиум. М., 1998. С. 45-46.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Казин Э.М. и др. Опыт использования автоматизированных систем для оценки функциональных особенностей организма. Сообщение III. Показатели функционального состояния у лиц умственного труда // Физиология человека. 1991. Т. 17. № 3. С. 145-149.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 xml:space="preserve">Калюжная Р.А. Физиология и патология сердечно-сосудистой системы детей и подростков. М.: Медицина, 1973. 328 с. 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Куприянова О.О., Нидекке И.Г., Кожевникова О.В. Суточная вариабельность ритма сердечной деятельности у здоровых детей школьного возраста // Физиология человека. 1997. № 3. С. 34-37.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Столяренко Л.Д. Основы психологии. Ростов-на-Дону, 1997. 726с.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Маркин В.В. Влияние личностных характеристик студентов на уровень адаптации /Эколого-физиологические проблемы адаптации. VIII Межд. Симпозиум. М., 1998. С. 243-244.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Чинкин А.С., Федорович В.А., Русяев Л.А. Минутный объем крови при различных уровнях мышечной активности // Вегетативные показатели адаптации организма к физическим нагрузкам. Казань, 1987. С. 123.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Калюжная Р.А. Актуальные вопросы физиологии сердечно-сосудистой системы современных школьников // Физиология вегетативной нервной системы. Куйбышев, 1979. Т. 1. С. 219.</w:t>
      </w:r>
    </w:p>
    <w:p w:rsidR="007D52C0" w:rsidRPr="00AF78F2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Макарова В.И., Дегтева Г.Н., Коноплев О.О., Кудря Л.И., Чупрова С.Н., Симонова Н.Н Состояние здоровья детей школьного возраста при экстремальных формах обучения // Гигиена и санитария. 1997. № 3. С. 33-36.</w:t>
      </w:r>
    </w:p>
    <w:p w:rsidR="007D52C0" w:rsidRDefault="007D52C0" w:rsidP="007D52C0">
      <w:pPr>
        <w:spacing w:before="120"/>
        <w:ind w:firstLine="567"/>
        <w:jc w:val="both"/>
        <w:rPr>
          <w:sz w:val="24"/>
          <w:szCs w:val="24"/>
        </w:rPr>
      </w:pPr>
      <w:r w:rsidRPr="00AF78F2">
        <w:rPr>
          <w:sz w:val="24"/>
          <w:szCs w:val="24"/>
        </w:rPr>
        <w:t>Тупицын И.О. Возрастная динамика и адаптационные изменения сердечно-сосудистой системы у школьников. М., 1986. С. 6-12.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52C0"/>
    <w:rsid w:val="00095BA6"/>
    <w:rsid w:val="0031418A"/>
    <w:rsid w:val="004456CB"/>
    <w:rsid w:val="004E3A12"/>
    <w:rsid w:val="005A2562"/>
    <w:rsid w:val="007D52C0"/>
    <w:rsid w:val="00946DB5"/>
    <w:rsid w:val="00A44D32"/>
    <w:rsid w:val="00AF78F2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2F14BDB-D5A0-44E3-813E-094304D6A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52C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Peterburg" w:hAnsi="Peterburg" w:cs="Peterburg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D52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2109</Words>
  <Characters>12025</Characters>
  <Application>Microsoft Office Word</Application>
  <DocSecurity>0</DocSecurity>
  <Lines>100</Lines>
  <Paragraphs>28</Paragraphs>
  <ScaleCrop>false</ScaleCrop>
  <Company>Home</Company>
  <LinksUpToDate>false</LinksUpToDate>
  <CharactersWithSpaces>14106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Оценка адаптационных возможностей школьников к учебным нагрузкам по психофизиологическим показателям</dc:title>
  <dc:subject/>
  <dc:creator>Alena</dc:creator>
  <cp:keywords/>
  <dc:description/>
  <cp:lastModifiedBy>admin</cp:lastModifiedBy>
  <cp:revision>2</cp:revision>
  <dcterms:created xsi:type="dcterms:W3CDTF">2014-02-16T14:31:00Z</dcterms:created>
  <dcterms:modified xsi:type="dcterms:W3CDTF">2014-02-16T14:31:00Z</dcterms:modified>
</cp:coreProperties>
</file>