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23" w:rsidRPr="00D17D2E" w:rsidRDefault="00295E23" w:rsidP="00295E23">
      <w:pPr>
        <w:spacing w:before="120"/>
        <w:jc w:val="center"/>
        <w:rPr>
          <w:b/>
          <w:bCs/>
          <w:sz w:val="32"/>
          <w:szCs w:val="32"/>
        </w:rPr>
      </w:pPr>
      <w:r w:rsidRPr="00D17D2E">
        <w:rPr>
          <w:b/>
          <w:bCs/>
          <w:sz w:val="32"/>
          <w:szCs w:val="32"/>
        </w:rPr>
        <w:t>Оценка уровня физической подготовленности как фактор формирования положительной мотивации студентов к физической активности</w:t>
      </w:r>
    </w:p>
    <w:p w:rsidR="00295E23" w:rsidRPr="00D17D2E" w:rsidRDefault="00295E23" w:rsidP="00295E23">
      <w:pPr>
        <w:spacing w:before="120"/>
        <w:jc w:val="center"/>
        <w:rPr>
          <w:sz w:val="28"/>
          <w:szCs w:val="28"/>
        </w:rPr>
      </w:pPr>
      <w:r w:rsidRPr="00D17D2E">
        <w:rPr>
          <w:sz w:val="28"/>
          <w:szCs w:val="28"/>
        </w:rPr>
        <w:t>Роман Бака, Институт народного образования, Белосток, Польша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Введение. Известно, что состояние психических процессов человека, в том числе мотивация, рассматривается как одно из важнейших условий, непосредственно влияющих на эффективность различных видов деятельности, включая физическую активность в ее широком понимании [1- 4].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 этой связи формирование у студентов положительной мотивации к физической активности может служить одним из главных условий, непосредственно влияющих на эффективность организации учебного процесса по спортивным дисциплинам в педагогических учебных заведениях.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Приступая к организации исследования, мы исходили из соображений, что на формирование положительной мотивации к физической активности непосредственное влияние может оказать объективная количественная и качественная информация об индивидуальном уровне физической подготовленности студентов. Грамотное использование такой информации позволило бы преподавателям повысить заинтересованность студентов в двигательной активности (ДА).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Основной методологический подход к организации исследования базировался на целесообразности использования комплекса контрольных показателей, позволяющих описать структуру физической подготовленности обследованных. А количественная и качественная оценки каждого из физических качеств: силы, быстроты, выносливости, гибкости - послужили бы основанием к сознательному выбору соответствующих физических упражнений и режима их использования.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 целом предполагали, что такая информация повысит уровень сознательного отношения и будет выступать как фактор мотивации студентов к физической активности в условиях учебного процесса и в режиме свободного времени.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Таким образом, основная цель исследования заключалась в обосновании эффективности объективной количественной и качественной оценки уровня физической подготовленности для формирования мотивации студентов к ДА.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Методы и организация исследования. Проведено массовое обследование студентов стационарной формы обучения по программе International Committee on the Standardization of Physical Fitness Test - ICSPFT. Тест включает ряд контрольных упражнений, результаты которых позволяют объективно оценить уровень развития силы, быстроты, выносливости, гибкости.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Студентов обследовали в начале и в конце учебного года в лабораторных и естественных условиях учебных занятий по гимнастике и лёгкой атлетике.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Выводы об эффективности ДА студентов на основе изучения физического состояния делались в двух направлениях. Первое направление предусматривало сравнительный анализ показателей состояния двигательной функции студентов 1 - 3-го курсов. Второе направление было основано на оценке контрольных показателей, зарегистрированных у студентов в соответствии с требованиями ICSPFT повторно, через год обучения. Это дало возможность проследить за конкретными изменениями физического состояния контингента обследованных и сделать выводы об эффективности ДА в учебном процессе.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Регистрация ICSPFT осуществлялась в соответствии с общей инструкцией и указаниями, опубликованными в печати [5].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Для обработки первичных материалов обследования студентов использовался пакет программ "Статистик PL" в версии 5.0, что позволяла получать средние значения (М), ошибку средней арифметической (m), среднеквадратическое отклонение (s) и коэффициент вариации (V%). Для доказательства положительного влияния ДА студентов на состояние физической подготовленности применялся t -критерий Стьюдента для равных выборок: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>[М1 - М2]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>t = ------------------------,</w:t>
      </w:r>
    </w:p>
    <w:p w:rsidR="00295E23" w:rsidRPr="00D17D2E" w:rsidRDefault="0041207A" w:rsidP="00295E2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.75pt;height:9pt">
            <v:imagedata r:id="rId4" o:title=""/>
          </v:shape>
        </w:pict>
      </w:r>
      <w:r w:rsidR="00295E23" w:rsidRPr="00D17D2E">
        <w:t xml:space="preserve">s12 + s22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где М1, М2 - средние арифметические значения исследуемых выборок; s12, s22 - средние квадратические отклонения исследуемых выборок.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Анализ проводился на основе сравнения достижений студентов 1 - 3-го годов обучения по каждому контрольному показателю в отдельности, а также по сумме пунктов, набранных во всех измерениях. О достоверности различий между результатами первичного и заключительного обследования учащихся каждого года обучения судили по t-критерию Стьюдента при р &lt; 0,05.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Для решения поставленных в исследовании задач укомплектован состав обследованных студентов (155 мужчин и 151 женщина, средний возраст 19,8-24,6 года), которые в своей ДА ограничивались только объемом физических упражнений, предусмотренных учебным планом. По этому условию студенты, которые во внеучебное время активно занимались каким-либо видом спорта, не включались в состав экспериментальных групп.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Результаты. Материалы первичного обследования в начале учебного года позволили объективно, в количественных выражениях описать уровень физической подготовленности студентов 1-3-го годов обучения. Соответствующие результаты представлены в табл. 1.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Как видно из таблицы, существенных различий в контрольных показателях студентов 1-3-го годов обучения не обнаружено. Только в одном упражнении - беге на 1000 м - студенты 2-го года обучения были подготовлены существенно лучше, чем студенты 1-го года (t=2,08; р &lt;0,05).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Следует обратить внимание, что в составе каждого года обучения встречались студенты с существенно разным уровнем физической подготовленности. Об этом свидетельствуют среднеквадратические отклонения контрольных показателей и коэффициенты вариации, характеризующие диапазон различий достижений лучших и менее подготовленных студентов. Вариативность показателей физической подготовленности студентов каждого года обучения колебалась в значительных пределах - от 2,2 до 58,2 %.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Наиболее выраженные различия в показателях физической подготовленности студентов каждого года обучения обнаружены в подтягивании, в висе на перекладине (20,9 - 42,2 %), характеризующих силовые возможности, а также в наклоне туловища вперед при измерении гибкости (42,0 - 58,2 %).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 целом результаты контроля свидетельствовали, что в составе групп студентов каждого года обучения был большой процент недостаточно физически подготовленных, значительно отстающих от остальных.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Второе направление позволило ответить на вопрос о том, насколько уровень физической подготовленности студентов института соответствует международным требованиям, которые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использовались в нашем исследовании в качестве критерия оценки. С этой целью мы сочли возможным модифицировать количественные критерии оценки достижений в каждом контрольном упражнении, предусмотренные в ICSPFT, в направлении качественной оценки подготовленности обследованных.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Качественные характеристики и соответствующее им количество баллов определяли, ориентируясь на плотность статистического распределения зарегистрированных контрольных показателей.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Установили, что в зоне оценки "удовлетворительно" - от 50 до 60 баллов - находилось до 76,6 % достижений студентов в семи упражнениях (табл. 2). В зонах "хорошо" и "недостаточно" - 8,5 и 6,8 %; в зонах "отлично" и "неудовлетворительно" - 3,5 и 4,5 %. Эти данные позволяли судить о нормальности статистического распределения результатов физической подготовленности студентов и об объективности разработки качественных критериев оценки.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Ориентируясь на материалы исследования, представленные в таблице, стало возможным объективно оценить физическую подготовленность студентов и определить группу занимающихся, уровень физической подготовленности которых не соответствовал необходимым требованиям. Таковых оказалось 11,3 %. Из них оценку подготовленности "недостаточно" получили 6,8 % занимающихся, а "неудовлетворительно" - 4,5 %. По оценкам каждого из семи контрольных упражнений стало возможным проследить за индивидуальной структурой физической подготовленности каждого студента.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В течение учебного года наблюдалась положительная динамика физического совершенствования студентов (табл. 3). Наиболее выраженное улучшение результатов по итогам комплексного контроля студентов и студенток обнаружено в показателях силы и гибкости. Так, у студенток средний показатель гибкости при наклоне вперед возрос с 8,0 до 12,14 см (t = 3,3; р &lt; 0,01), а общий прирост составил 35,5 %.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Как у студентов, так и у студенток в большей или меньшей степени повысились результаты и в других контрольных упражнениях: в беге - на 1,6-3,4 %, в прыжках - на 2,0-8,1 %.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Однако для объективной оценки уровня физической подготовленности студентов было недостаточно обсуждения только темпов прироста контрольных показателей в годичном цикле обучения.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Как пример качественной оценки уровня физической подготовленности студентов колледжа приведём данные студентов 1-го курса (табл. 4).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Материалы исследования уровня физической подготовленности студентов с использованием количественных и качественных критериев позволили обнаружить положительные изменения в годичных циклах обучения. Так, в общей массе обследованных студентов к концу каждого года обучения в институте количество неудовлетворительно и плохо физически подготовленных уменьшилось до 2,1 %, удовлетворительно физически подготовленных увеличилось до 2,5 %, хорошо и отлично физически подготовленных - до 0,6 %.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Использование комплексного метода количественных и качественных оценок позволило составить объективное представление об уровне общей физической подготовленности студентов и косвенно судить о положительном влиянии общего объема и содержания ДА в институте.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>Таким образом, формирование у студентов целенаправленной мотивации на совершенствование физической подготовленности способствовало повышению чувства ответственности и творческому отношению к ДА, что и приводило к положительным изменениям показателей физической подготовленности.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>Таблица 1. Сравнительная характеристика физической подготовленности студентов 1-3-го курсов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6"/>
        <w:gridCol w:w="2163"/>
        <w:gridCol w:w="2207"/>
        <w:gridCol w:w="2207"/>
        <w:gridCol w:w="2265"/>
      </w:tblGrid>
      <w:tr w:rsidR="00295E23" w:rsidRPr="00D17D2E" w:rsidTr="00F105C3">
        <w:trPr>
          <w:tblCellSpacing w:w="0" w:type="dxa"/>
        </w:trPr>
        <w:tc>
          <w:tcPr>
            <w:tcW w:w="4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№</w:t>
            </w:r>
          </w:p>
        </w:tc>
        <w:tc>
          <w:tcPr>
            <w:tcW w:w="11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Показатели контроля</w:t>
            </w:r>
          </w:p>
        </w:tc>
        <w:tc>
          <w:tcPr>
            <w:tcW w:w="34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Статистические параметры (М±</w:t>
            </w:r>
            <w:r w:rsidR="0041207A">
              <w:pict>
                <v:shape id="_x0000_i1031" type="#_x0000_t75" style="width:6.75pt;height:9pt">
                  <v:imagedata r:id="rId5" o:title=""/>
                </v:shape>
              </w:pict>
            </w:r>
            <w:r w:rsidRPr="00D17D2E">
              <w:t>: V%: t: р)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23" w:rsidRPr="00D17D2E" w:rsidRDefault="00295E23" w:rsidP="00F105C3"/>
        </w:tc>
        <w:tc>
          <w:tcPr>
            <w:tcW w:w="11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23" w:rsidRPr="00D17D2E" w:rsidRDefault="00295E23" w:rsidP="00F105C3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1-й курс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2-й курс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3-й курс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на 50 м, с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7,4±0,30; V% -4,0 t1-2=0,65; р&gt;0,05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7,2±0,43; V%-5,9 t2-3=0,59;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7,3±0,33; V%-4,5 t1-3=0,81;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на 1000 м, с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3.19,6±0,07; V%-2,2 t1-2=2,08; р&lt;0,05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3.26,0±0,14; V%-4,3 t2-3=1,88;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3.22,0±0,21; V%-6,5 t1-3=1,79;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4x10 м, с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11,2±0,46:V%-3,6 t1-2=1,17; p&gt;0,05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11,3±0,70:V%-6,2 t2-3=1,02;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11,2±0,57:V%-5,1 t1-3=0,29;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4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Прыжок в длину с места, см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227±16,51; V%-7,2 t1-2=1,39; p&gt;0,05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239±22,30; V%-9,3 t2-3=0,09;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222±49,15;V%-22,1 t1-3=1,80;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5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Подтягивание в висе, раз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9,6±2,01; V%-20,9 t1-2=0,89; p&gt;0,05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10,6±4,50;V%-42,2 t2-3=1,13;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10,0±2,43; V%-24,3 t1-3=1,73;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6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Сгибание туловища лёжа на спине, раз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28,1±3,09; V%-10,9 t1-2=0,93; p&gt;0,05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28,8±3,70; V%-3,5 t2-3=1,11;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28,4±4,75; V%-16,7 t1-3=1,13; p&gt;0,05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7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Наклон вперёд, см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11,5±4,91; V%-42,0 t1-2=0,79; p&gt;0,05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9,3±5,4; V%-58,0 t2-3=0,88; p&gt;0,05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10,0±5,85;V%-58,2 t1-3=1,10; p&gt;0,05</w:t>
            </w:r>
          </w:p>
        </w:tc>
      </w:tr>
    </w:tbl>
    <w:p w:rsidR="00295E23" w:rsidRPr="00D17D2E" w:rsidRDefault="00295E23" w:rsidP="00295E23">
      <w:pPr>
        <w:spacing w:before="120"/>
        <w:ind w:firstLine="567"/>
        <w:jc w:val="both"/>
      </w:pPr>
      <w:r w:rsidRPr="00D17D2E">
        <w:t>Примечание; t1-2,t2-3,t1-3 - значения t-критерия Стьюдента между показателями физической подготовленности студентов 1-3-го курсов.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>Таблица 2. Общая качественная оценка физической подготовленности студентов в соответствии с оценочными шкалами ICSPFT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9"/>
        <w:gridCol w:w="1048"/>
        <w:gridCol w:w="1047"/>
        <w:gridCol w:w="1047"/>
        <w:gridCol w:w="1557"/>
      </w:tblGrid>
      <w:tr w:rsidR="00295E23" w:rsidRPr="00D17D2E" w:rsidTr="00F105C3">
        <w:trPr>
          <w:tblCellSpacing w:w="0" w:type="dxa"/>
        </w:trPr>
        <w:tc>
          <w:tcPr>
            <w:tcW w:w="257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Качественные оценки подготовленности и баллы</w:t>
            </w:r>
          </w:p>
        </w:tc>
        <w:tc>
          <w:tcPr>
            <w:tcW w:w="24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Год обучения (курс), % обследованных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23" w:rsidRPr="00D17D2E" w:rsidRDefault="00295E23" w:rsidP="00F105C3"/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1-й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2-й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3-й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Общий %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«Отлично» — 75 баллов и выше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3,5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«Хорошо» — от 60 до 74 баллов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2,5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3,6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2,4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8,5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«Удовлетворительно» — от 50 до 59 баллов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25,0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26,8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24,8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76,6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«Недостаточно» — от 30 до 49 баллов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3,7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6,8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5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«Неудовлетворительно» — 29 баллов и ниже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2,1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1,0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4,5</w:t>
            </w:r>
          </w:p>
        </w:tc>
      </w:tr>
    </w:tbl>
    <w:p w:rsidR="00295E23" w:rsidRPr="00D17D2E" w:rsidRDefault="00295E23" w:rsidP="00295E23">
      <w:pPr>
        <w:spacing w:before="120"/>
        <w:ind w:firstLine="567"/>
        <w:jc w:val="both"/>
      </w:pPr>
      <w:r w:rsidRPr="00D17D2E">
        <w:t>Таблица 3. Изменения показателей физической подготовленности студенток 1-го курса в годичном никло обучения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5"/>
        <w:gridCol w:w="1303"/>
        <w:gridCol w:w="1239"/>
        <w:gridCol w:w="1292"/>
        <w:gridCol w:w="1230"/>
        <w:gridCol w:w="2089"/>
      </w:tblGrid>
      <w:tr w:rsidR="00295E23" w:rsidRPr="00D17D2E" w:rsidTr="00F105C3">
        <w:trPr>
          <w:tblCellSpacing w:w="0" w:type="dxa"/>
        </w:trPr>
        <w:tc>
          <w:tcPr>
            <w:tcW w:w="131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Контрольные показатели</w:t>
            </w:r>
          </w:p>
        </w:tc>
        <w:tc>
          <w:tcPr>
            <w:tcW w:w="36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Статистические показатели, n = 51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23" w:rsidRPr="00D17D2E" w:rsidRDefault="00295E23" w:rsidP="00F105C3"/>
        </w:tc>
        <w:tc>
          <w:tcPr>
            <w:tcW w:w="1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в начале учебного года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в конце учебного года</w:t>
            </w:r>
          </w:p>
        </w:tc>
        <w:tc>
          <w:tcPr>
            <w:tcW w:w="10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t; p; %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E23" w:rsidRPr="00D17D2E" w:rsidRDefault="00295E23" w:rsidP="00F105C3"/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М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±CD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М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±CD</w:t>
            </w:r>
          </w:p>
        </w:tc>
        <w:tc>
          <w:tcPr>
            <w:tcW w:w="10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5E23" w:rsidRPr="00D17D2E" w:rsidRDefault="00295E23" w:rsidP="00F105C3"/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на 50 м, с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8,8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0,76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8,5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0,44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&gt;0,05; 3,4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на 800 м, с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3.18,3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0,10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3.13,1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0,17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&gt;0,05; 1,6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Бег 4x10 м, с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12,4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0,87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12,1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0,38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&gt;0,05; 2,4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Прыжок в длину, см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186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30,11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139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16,20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&gt;0,05: 1,6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Вис на руках, с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38,9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25,75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39,6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12,95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&gt;0,05; 1,8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Сед из положения лёжа, раз за 30 с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19,2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3,05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23,8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2,74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2,82&lt;0,05:19,7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Наклон вперёд, см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8,0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3,5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12,4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3,61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3,31&lt;0,01;35,5</w:t>
            </w:r>
          </w:p>
        </w:tc>
      </w:tr>
    </w:tbl>
    <w:p w:rsidR="00295E23" w:rsidRPr="00D17D2E" w:rsidRDefault="00295E23" w:rsidP="00295E23">
      <w:pPr>
        <w:spacing w:before="120"/>
        <w:ind w:firstLine="567"/>
        <w:jc w:val="both"/>
      </w:pPr>
      <w:r w:rsidRPr="00D17D2E">
        <w:t>Таблица 4. Общая качественная оценка изменений показателей физической подготовленности студентов в годичном цикле обучения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9"/>
        <w:gridCol w:w="2017"/>
        <w:gridCol w:w="1738"/>
        <w:gridCol w:w="2004"/>
      </w:tblGrid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Качественные критерии подготовленности и 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В начале баллы учебного года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В конце учебного года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Изменения в %, ±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«Отлично» — 75 баллов и выше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3,2 </w:t>
            </w:r>
          </w:p>
          <w:p w:rsidR="00295E23" w:rsidRPr="00D17D2E" w:rsidRDefault="00295E23" w:rsidP="00F105C3">
            <w:r w:rsidRPr="00D17D2E">
              <w:t>2,3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3,4 </w:t>
            </w:r>
          </w:p>
          <w:p w:rsidR="00295E23" w:rsidRPr="00D17D2E" w:rsidRDefault="00295E23" w:rsidP="00F105C3">
            <w:r w:rsidRPr="00D17D2E">
              <w:t>2,2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+0,2 </w:t>
            </w:r>
          </w:p>
          <w:p w:rsidR="00295E23" w:rsidRPr="00D17D2E" w:rsidRDefault="00295E23" w:rsidP="00F105C3">
            <w:r w:rsidRPr="00D17D2E">
              <w:t>-0,1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«Хорошо» — от 60 до 74 баллов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8,3 </w:t>
            </w:r>
          </w:p>
          <w:p w:rsidR="00295E23" w:rsidRPr="00D17D2E" w:rsidRDefault="00295E23" w:rsidP="00F105C3">
            <w:r w:rsidRPr="00D17D2E">
              <w:t>7,7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8,6</w:t>
            </w:r>
          </w:p>
          <w:p w:rsidR="00295E23" w:rsidRPr="00D17D2E" w:rsidRDefault="00295E23" w:rsidP="00F105C3">
            <w:r w:rsidRPr="00D17D2E">
              <w:t>8,3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+0,3 </w:t>
            </w:r>
          </w:p>
          <w:p w:rsidR="00295E23" w:rsidRPr="00D17D2E" w:rsidRDefault="00295E23" w:rsidP="00F105C3">
            <w:r w:rsidRPr="00D17D2E">
              <w:t>+0,6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«Удовлетворительно» — от 50 до 59 баллов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74,8 </w:t>
            </w:r>
          </w:p>
          <w:p w:rsidR="00295E23" w:rsidRPr="00D17D2E" w:rsidRDefault="00295E23" w:rsidP="00F105C3">
            <w:r w:rsidRPr="00D17D2E">
              <w:t>75,9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77,3 </w:t>
            </w:r>
          </w:p>
          <w:p w:rsidR="00295E23" w:rsidRPr="00D17D2E" w:rsidRDefault="00295E23" w:rsidP="00F105C3">
            <w:r w:rsidRPr="00D17D2E">
              <w:t>76,5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+2,5 </w:t>
            </w:r>
          </w:p>
          <w:p w:rsidR="00295E23" w:rsidRPr="00D17D2E" w:rsidRDefault="00295E23" w:rsidP="00F105C3">
            <w:r w:rsidRPr="00D17D2E">
              <w:t>+0,6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«Неудовлетворительно» — от 30 до 49 баллов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8,9</w:t>
            </w:r>
          </w:p>
          <w:p w:rsidR="00295E23" w:rsidRPr="00D17D2E" w:rsidRDefault="00295E23" w:rsidP="00F105C3">
            <w:r w:rsidRPr="00D17D2E">
              <w:t xml:space="preserve"> 9,1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6,8 </w:t>
            </w:r>
          </w:p>
          <w:p w:rsidR="00295E23" w:rsidRPr="00D17D2E" w:rsidRDefault="00295E23" w:rsidP="00F105C3">
            <w:r w:rsidRPr="00D17D2E">
              <w:t>8,9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-2,1</w:t>
            </w:r>
          </w:p>
          <w:p w:rsidR="00295E23" w:rsidRPr="00D17D2E" w:rsidRDefault="00295E23" w:rsidP="00F105C3">
            <w:r w:rsidRPr="00D17D2E">
              <w:t xml:space="preserve"> -0,2</w:t>
            </w:r>
          </w:p>
        </w:tc>
      </w:tr>
      <w:tr w:rsidR="00295E23" w:rsidRPr="00D17D2E" w:rsidTr="00F105C3">
        <w:trPr>
          <w:tblCellSpacing w:w="0" w:type="dxa"/>
        </w:trPr>
        <w:tc>
          <w:tcPr>
            <w:tcW w:w="20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>«Плохо» — ниже 30 баллов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4,8 </w:t>
            </w:r>
          </w:p>
          <w:p w:rsidR="00295E23" w:rsidRPr="00D17D2E" w:rsidRDefault="00295E23" w:rsidP="00F105C3">
            <w:r w:rsidRPr="00D17D2E">
              <w:t>5,0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23" w:rsidRPr="00D17D2E" w:rsidRDefault="00295E23" w:rsidP="00F105C3">
            <w:r w:rsidRPr="00D17D2E">
              <w:t xml:space="preserve">3,9 </w:t>
            </w:r>
          </w:p>
          <w:p w:rsidR="00295E23" w:rsidRPr="00D17D2E" w:rsidRDefault="00295E23" w:rsidP="00F105C3">
            <w:r w:rsidRPr="00D17D2E">
              <w:t>4,1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E23" w:rsidRPr="00D17D2E" w:rsidRDefault="00295E23" w:rsidP="00F105C3">
            <w:r w:rsidRPr="00D17D2E">
              <w:t>-0,9</w:t>
            </w:r>
          </w:p>
          <w:p w:rsidR="00295E23" w:rsidRPr="00D17D2E" w:rsidRDefault="00295E23" w:rsidP="00F105C3">
            <w:r w:rsidRPr="00D17D2E">
              <w:t>-0,2</w:t>
            </w:r>
          </w:p>
        </w:tc>
      </w:tr>
    </w:tbl>
    <w:p w:rsidR="00295E23" w:rsidRPr="00D17D2E" w:rsidRDefault="00295E23" w:rsidP="00295E23">
      <w:pPr>
        <w:spacing w:before="120"/>
        <w:ind w:firstLine="567"/>
        <w:jc w:val="both"/>
      </w:pPr>
      <w:r w:rsidRPr="00D17D2E">
        <w:t>Суммарные величины изменений: в числителе данные студентов - 6,0 %, в знаменателе данные студенток -1,6%</w:t>
      </w:r>
    </w:p>
    <w:p w:rsidR="00295E23" w:rsidRPr="00D17D2E" w:rsidRDefault="00295E23" w:rsidP="00295E23">
      <w:pPr>
        <w:spacing w:before="120"/>
        <w:jc w:val="center"/>
        <w:rPr>
          <w:b/>
          <w:bCs/>
          <w:sz w:val="28"/>
          <w:szCs w:val="28"/>
        </w:rPr>
      </w:pPr>
      <w:r w:rsidRPr="00D17D2E">
        <w:rPr>
          <w:b/>
          <w:bCs/>
          <w:sz w:val="28"/>
          <w:szCs w:val="28"/>
        </w:rPr>
        <w:t>Список литературы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1. Бальсевич В.К. Онтокинезиология человека. - М.: Теория и практика физической культуры, 2000. - 275 с.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2. Кретти Б.Д. Психология в современном спорте. - М.: ФиС, 1978. - 224 с.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3. Лубышева Л.И. Концепция формирования физической культуры человека. - М.: ГЦОЛИФК, 1992. - 120 с.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4. Пилоян Р.А. Мотивация спортивной деятельности. - М.: ФиС, 1984. - 104 с. </w:t>
      </w:r>
    </w:p>
    <w:p w:rsidR="00295E23" w:rsidRPr="00D17D2E" w:rsidRDefault="00295E23" w:rsidP="00295E23">
      <w:pPr>
        <w:spacing w:before="120"/>
        <w:ind w:firstLine="567"/>
        <w:jc w:val="both"/>
      </w:pPr>
      <w:r w:rsidRPr="00D17D2E">
        <w:t xml:space="preserve">5. Trzesniowski R., Pilicz S. Tabele sprawnosci fizycznej mlodziezy w wieku 7-19 lat. Warszawa, 1989. -127 s.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E23"/>
    <w:rsid w:val="00295E23"/>
    <w:rsid w:val="003E2EE0"/>
    <w:rsid w:val="0041207A"/>
    <w:rsid w:val="0050390D"/>
    <w:rsid w:val="005C1743"/>
    <w:rsid w:val="007C224E"/>
    <w:rsid w:val="00D17D2E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48F9002-382E-40AC-BEA0-6BE74A16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11069</Characters>
  <Application>Microsoft Office Word</Application>
  <DocSecurity>0</DocSecurity>
  <Lines>92</Lines>
  <Paragraphs>25</Paragraphs>
  <ScaleCrop>false</ScaleCrop>
  <Company>Home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уровня физической подготовленности как фактор формирования положительной мотивации студентов к физической активности</dc:title>
  <dc:subject/>
  <dc:creator>Alena</dc:creator>
  <cp:keywords/>
  <dc:description/>
  <cp:lastModifiedBy>admin</cp:lastModifiedBy>
  <cp:revision>2</cp:revision>
  <dcterms:created xsi:type="dcterms:W3CDTF">2014-02-19T16:14:00Z</dcterms:created>
  <dcterms:modified xsi:type="dcterms:W3CDTF">2014-02-19T16:14:00Z</dcterms:modified>
</cp:coreProperties>
</file>