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2D" w:rsidRPr="005B0891" w:rsidRDefault="005F0D2D" w:rsidP="005F0D2D">
      <w:pPr>
        <w:spacing w:before="120"/>
        <w:jc w:val="center"/>
        <w:rPr>
          <w:b/>
          <w:bCs/>
          <w:sz w:val="32"/>
          <w:szCs w:val="32"/>
        </w:rPr>
      </w:pPr>
      <w:r w:rsidRPr="005B0891">
        <w:rPr>
          <w:b/>
          <w:bCs/>
          <w:sz w:val="32"/>
          <w:szCs w:val="32"/>
        </w:rPr>
        <w:t>Очерк по поводу создания PDF-файлов</w:t>
      </w:r>
    </w:p>
    <w:p w:rsidR="005F0D2D" w:rsidRPr="005B0891" w:rsidRDefault="005F0D2D" w:rsidP="005F0D2D">
      <w:pPr>
        <w:spacing w:before="120"/>
        <w:jc w:val="center"/>
        <w:rPr>
          <w:sz w:val="28"/>
          <w:szCs w:val="28"/>
        </w:rPr>
      </w:pPr>
      <w:r w:rsidRPr="005B0891">
        <w:rPr>
          <w:sz w:val="28"/>
          <w:szCs w:val="28"/>
        </w:rPr>
        <w:t xml:space="preserve">Максим Фокин, "Королевство Delphi"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 последнее время на просторах интернета обнаружилось очень много PDF converter'ов, reader'ов и write'ов. И подавляющее большинство из них предлагается за деньги. Сама программа от 10$ до 300$. А уж исходный код за гораздо большие деньги цена начинается от 200$ а в одном месте (заинтересовавшись этим полазил по инету) аж за 900 евро.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Данная проблемма меня заинтересовала в плане программирования и вот результаты довожу до вашего сведения. (Данные результаты получены мною при изучении внутренностей PDF файла, когда открываешь его в total commander через F3)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Обычный PDF файл состоит из четырех частей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&lt;PDF file&gt; := &lt;header&gt;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&lt;body&gt;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&lt;cross-reference table&gt;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&lt;trailer&gt;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Что такое такое &lt;header&gt;? Это обычное упоминание о версии PDF specification. Которое присутствует в первой строке PDF файла. Например "%PDF-1.3" В седьмой версии акробата которая вышла где то в начале лета этого года, этот номер "%PDF-1.7", но это не версия продукта, это версия именно спецификации. Второй строкой PDF идет небольшая аброкадабра (видимо предназначена для дальнейшего использования) " %вгПУ"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Все с первой частью PDF разобрались.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Что из себя представляет вторая часть которая называется &lt;body&gt;?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Ответ очень простой: это последовательность объектов, описание которых как и хедера представлены в текстовом виде.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Каждый объект это текстовой фрагмент с порядковым номером в имени например "4 0 obj"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4 это порядковый номер объекта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0 это номер (ре)генерации файла то есть когда файл обновляется (редактируется ) то данный номер увеличивается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obj это кодовое слово означающее что в теле документа нам встретился объект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Все объекты делятся на косвенные и прямые. Все косвенные, и их большинство, после слова obj имеют в своем теле делиметер "&lt;&lt;", означающее начало данных объекта. И в конце данных закрывающий делиметер "&gt;&gt;" и кодовое слово endobj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Прямые объекты не должны иметь в своем теле открывающих и закрывающих делиметеров "&lt;&lt;", "&gt;&gt;" Все косвенные объекты доступны через cross-reference table. В ней представлены ссылки в виде смещения от начала файла до начала объекта (Данные (строки) в объекте разделяются #13#10 либо #13)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Тип "самого главного" объекта в теле PDF файла носит гордое имя "/Catalog"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4 0 obj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/Type /Catalog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/Pages 2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/OpenAction [ 5 0 R /XYZ null 364 1 ]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/PageMode /UseNone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endobj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На самом деле в теле минимального PDF файла типа "Hello world" должно быть 3 "главных" объекта. Давайте я их перечислю по типам: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"/Catalog" содержит в себе ссылку : на дерево страниц (/Pages)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"/Pages" содержит в себе ссылку на группу страниц документа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</w:t>
      </w:r>
      <w:r w:rsidRPr="00EB44E0">
        <w:t>Например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2 0 obj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/Type /Pages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/Kids [ 3 0 R ]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/Count 1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&gt;&gt;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endobj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)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"/Page" содержит в себе ссылку на объекты относящиеся к конкретной странице.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</w:t>
      </w:r>
      <w:r w:rsidRPr="00EB44E0">
        <w:t>Например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3 0 obj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/Type /Page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/Parent 2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/MediaBox [ 0 0 612 792 ]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/CropBox [ 0 0 612 792 ]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/Contents 4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/Resources &lt;&lt; /Font 20 0 R /ProcSet [ /PDF /Text ] &gt;&gt;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/Rotate 0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&gt;&gt;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)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И несколько "второстепенных"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Разберем объект страница: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/Rotate поле показывающее на сколько градусов изображение страницы должно быть повернуто при отображение в программе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/MediaBox и /CropBox поля описывающие размер страницы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/Parent ссылка на родительский объект "/Pages"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/Resources это поле описывает какой фонт должен быть использован при отображении страницы (фонт это отдельный объект) и установку ProcSet эта установка показывает какое содержимое потока данных данной страницы (тоже может быть определен как объект, а не как поле)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/Contents Самое интересное поле в объекте "страница", дает ссылку на объект содержимого данной страницы, причем : если это поле отсутствует в объекте "страница" значит страница пустая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Содержимое страницы: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Объект "stream"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4 0 obj &lt;&lt; /Length 305 &gt;&gt;</w:t>
      </w:r>
      <w:r>
        <w:t xml:space="preserve"> </w:t>
      </w:r>
      <w:r w:rsidRPr="00EB44E0">
        <w:t>stream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BT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/F12 9 Tf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10 782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 Max Fokin)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 mnb)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(Max Privet)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( 1)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(1)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(2)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(3) Tj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0 -12.5 TD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(45) Tj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ET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endstream endobj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/Length 305 - это поле показыввающее сколько байт от слова stream до слова endstream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Самый простой вариант — это некодированный и несжатый поток данных в объекте stream. Он ограничивается операторами BT и ET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BT Begins a Text Object</w:t>
      </w:r>
      <w:r>
        <w:t xml:space="preserve"> </w:t>
      </w:r>
      <w:r w:rsidRPr="00EB44E0">
        <w:t>- характеризует начало текста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ET Ends a Text Object.</w:t>
      </w:r>
      <w:r>
        <w:t xml:space="preserve"> </w:t>
      </w:r>
      <w:r w:rsidRPr="00EB44E0">
        <w:t>- характеризует конец текста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/F12 9 Tf -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/F12 это кодовое имя объекта который характеризует фонт используемый на данной странице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9 это размер фонта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Tf это оператор который характеризует что данная строка в объекте steam есть установка фонта и размера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10 782 TD - это цифры откуда начинается данная строка (отсчет производиться от левого верхнего угла)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Tj - это оператор перевода на новую строку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Ну а в круглых скобках наш текст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Кодированный поток я сдесь не объясняю. Он основан на алгоритмах RC4, RC5, MD5.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Что такое объект Font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12 0 obj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&lt;&lt;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/Type /Font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/Subtype /Type1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/Name /F7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/BaseFont /Courier-Oblique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/Encoding /WinAnsiEncoding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/Type /Font Естественно название типа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/Subtype /Type1 название подтипа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/Name /F7 F7 это кодовое имя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t>PDF поддерживает несколько видов фонтов. Они</w:t>
      </w:r>
      <w:r w:rsidRPr="00EB44E0">
        <w:rPr>
          <w:lang w:val="en-US"/>
        </w:rPr>
        <w:t xml:space="preserve"> </w:t>
      </w:r>
      <w:r w:rsidRPr="00EB44E0">
        <w:t>перечисленны</w:t>
      </w:r>
      <w:r w:rsidRPr="00EB44E0">
        <w:rPr>
          <w:lang w:val="en-US"/>
        </w:rPr>
        <w:t xml:space="preserve"> </w:t>
      </w:r>
      <w:r w:rsidRPr="00EB44E0">
        <w:t>ниже</w:t>
      </w:r>
      <w:r w:rsidRPr="00EB44E0">
        <w:rPr>
          <w:lang w:val="en-US"/>
        </w:rP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Type 1, including subsets and Multiple Master "snapshots"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Type 3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TrueType, including subsets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Type 0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Честно говоря, я не разбирался с Type 3, TrueType, including subsets, Type 0 ничего по ним сказать не могу.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А Type 1 — это следующие фонты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Courier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Courier-Bold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Courier-BoldOblique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Courier-Oblique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Helvetica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Helvetica-Bold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Helvetica-BoldOblique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Helvetica-Oblique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Times-Roman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Times-Bold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Times-Italic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Times-BoldItalic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Symbol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ZapfDingbats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20 0 obj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 6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/F2 7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/F3 8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/F4 9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/F5 10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/F6 11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/F7 12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/F8 13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/F9 14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/F10 15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/F11 16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/F12 17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/F13 18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/F14 19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endobj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Это объект с названиями кодовых имен для фонтов первого типа. По этому кодовому имени можно легко получить сам объект фонт.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6 0 obj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/Type /Font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/Subtype /Type1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/Name /F1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/BaseFont /Helvetica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/Encoding /WinAnsiEncoding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&gt;&gt;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ВСЕ: то есть минимальное &lt;Body&gt; Состоит из следующих объектов: "catalog" , "pages", "page", "Resources" (опиционально может присутствовать, как поле в объекте страница), нетипизированный объект "stream", группа объектов "font"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t>Что</w:t>
      </w:r>
      <w:r w:rsidRPr="00EB44E0">
        <w:rPr>
          <w:lang w:val="en-US"/>
        </w:rPr>
        <w:t xml:space="preserve"> </w:t>
      </w:r>
      <w:r w:rsidRPr="00EB44E0">
        <w:t>такое</w:t>
      </w:r>
      <w:r w:rsidRPr="00EB44E0">
        <w:rPr>
          <w:lang w:val="en-US"/>
        </w:rPr>
        <w:t xml:space="preserve"> &lt;cross-reference table&gt;?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На самом деле это обычная текстовая таблица, она начинается со слова xref и своем теле имеет ссылки на все косвенные объекты в документе. Вот пример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xref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0 27</w:t>
      </w:r>
      <w:r>
        <w:t xml:space="preserve">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0000000021 65535 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0000000016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0000000105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0000000169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0000000356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0000000713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0000000892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0000001006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0000001125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0000001247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0000001373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0000001486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0000001604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0000001725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0000001850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0000001967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0000002084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0000002203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0000002326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0000002439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0000002558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0000000024 00001 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0000002751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0000002831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0000000000 00001 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0000002915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0000002955 00000 n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0 27 Эти цифры обозначают следующее :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0 - первый object number в таблице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27 - количество элементов таблицы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Первый элемент таблицы всегда иммет вид "XXXXXXXXXX 65535 f" где X это цифра, а 65535 это значение по умолчанию для первого элемента в таблице. Символ "f" обозначает "free", то есть объект не используется Ссылки на объекты, которые используются, в конце имеют символ "n"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Разберем элемент данной таблицы.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Первые 10 цифр — это смещение от начала файла до начала объекта.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0000000016 означает что через 16 байт от начала файла Вас встретит первое упоминание об объекте то есть, например, 4 0 obj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Вторые пять цифр — это номер генерации файла. Если файл только что создан, то они всегда нули. Если файл модифицируется, то это число увеличивается на единицу. То есть, 0000000024 00001 f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Канонический, только что созданный PDF файл, имеет только одну таблицу. Но, если файл редактируется, то таких таблиц может быть очень много.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Взаимосвязь таблиц осуществляется при помощи последнего элемента &lt;trailer&gt; и кодового слова startxref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Канонический, только что созданный PDF файл, имеет только одну таблицу, после таблицы идет элемент trailer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А после трайлера идет кодовое слово startxref, указывающее на смещение от начала файла до начала таблицы, вот пример.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trailer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/Size 3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startxref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173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%%EOF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Это значит, что через 173 байта от начала документа, будет присутствовать кодовое слово xref. Но, если файл был отредактирован, то последний в файле трайлер будет иметь вид: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xref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0 3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0000000000 65535 f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0000003609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0000003832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trailer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/Size 3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/ID[&lt;7a15ab3ed3999575ff2f3034104a82c1&gt;&lt;7a15ab3ed3999575ff2f3034104a82c1&gt;]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startxref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173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%%EOF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Но, если мы обратимся к таблице, куда указывает ссылка startxref 173, то мы найдем следующую таблицу, а за ней трайлер, который будет иметь поле /Prev 3896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3 16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0000000016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0000000664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0000000936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0000001106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0000001133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0000001250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0000001395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0000001811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0000001992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0000002180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0000002360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0000002760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0000003438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0000003516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0000000776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>0000000916 00000 n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trailer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&lt;&lt;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/Size 19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/Info 1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/Root 4 0 R </w:t>
      </w:r>
    </w:p>
    <w:p w:rsidR="005F0D2D" w:rsidRPr="00EB44E0" w:rsidRDefault="005F0D2D" w:rsidP="005F0D2D">
      <w:pPr>
        <w:spacing w:before="120"/>
        <w:ind w:firstLine="567"/>
        <w:jc w:val="both"/>
        <w:rPr>
          <w:lang w:val="en-US"/>
        </w:rPr>
      </w:pPr>
      <w:r w:rsidRPr="00EB44E0">
        <w:rPr>
          <w:lang w:val="en-US"/>
        </w:rPr>
        <w:t xml:space="preserve">/Prev 3896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/ID[&lt;7a15ab3ed3999575ff2f3034104a82c1&gt;&lt;7a15ab3ed3999575ff2f3034104a82c1&gt;]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&gt;&gt;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startxref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567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>%%EOF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Данное поле /Prev 3896 указывает нам на предыдущую таблицу, а ссылка startxref 567 указывает на следующую таблицу и так практически до бесконечности, пока в очередном поле startxref мы не увидим 0. Это значит, мы прочитали все таблицы. </w:t>
      </w:r>
    </w:p>
    <w:p w:rsidR="005F0D2D" w:rsidRPr="00EB44E0" w:rsidRDefault="005F0D2D" w:rsidP="005F0D2D">
      <w:pPr>
        <w:spacing w:before="120"/>
        <w:ind w:firstLine="567"/>
        <w:jc w:val="both"/>
      </w:pPr>
      <w:r w:rsidRPr="00EB44E0">
        <w:t xml:space="preserve">В данном очерке, конечно, не хватает исходного кода. Вот и он: представлены два модуля основной "PDFDocument" и вспомогательный "PDFBaseFonts"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D2D"/>
    <w:rsid w:val="0031418A"/>
    <w:rsid w:val="00385966"/>
    <w:rsid w:val="00571D66"/>
    <w:rsid w:val="005A2562"/>
    <w:rsid w:val="005B0891"/>
    <w:rsid w:val="005F0D2D"/>
    <w:rsid w:val="00C16CFB"/>
    <w:rsid w:val="00E12572"/>
    <w:rsid w:val="00E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1427FA-091D-48B7-B1A1-A42A80A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8182</Characters>
  <Application>Microsoft Office Word</Application>
  <DocSecurity>0</DocSecurity>
  <Lines>68</Lines>
  <Paragraphs>19</Paragraphs>
  <ScaleCrop>false</ScaleCrop>
  <Company>Home</Company>
  <LinksUpToDate>false</LinksUpToDate>
  <CharactersWithSpaces>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Очерк по поводу создания PDF-файлов</dc:title>
  <dc:subject/>
  <dc:creator>Alena</dc:creator>
  <cp:keywords/>
  <dc:description/>
  <cp:lastModifiedBy>admin</cp:lastModifiedBy>
  <cp:revision>2</cp:revision>
  <dcterms:created xsi:type="dcterms:W3CDTF">2014-02-18T07:50:00Z</dcterms:created>
  <dcterms:modified xsi:type="dcterms:W3CDTF">2014-02-18T07:50:00Z</dcterms:modified>
</cp:coreProperties>
</file>