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A9" w:rsidRPr="003A42E9" w:rsidRDefault="00D91EA9" w:rsidP="00D91EA9">
      <w:pPr>
        <w:spacing w:before="120"/>
        <w:jc w:val="center"/>
        <w:rPr>
          <w:b/>
          <w:sz w:val="32"/>
        </w:rPr>
      </w:pPr>
      <w:r w:rsidRPr="003A42E9">
        <w:rPr>
          <w:b/>
          <w:sz w:val="32"/>
        </w:rPr>
        <w:t xml:space="preserve">Определите свою половую конституцию! </w:t>
      </w:r>
    </w:p>
    <w:p w:rsidR="00D91EA9" w:rsidRPr="00D91EA9" w:rsidRDefault="00D91EA9" w:rsidP="00D91EA9">
      <w:pPr>
        <w:spacing w:before="120"/>
        <w:jc w:val="center"/>
        <w:rPr>
          <w:sz w:val="28"/>
        </w:rPr>
      </w:pPr>
      <w:r w:rsidRPr="00D91EA9">
        <w:rPr>
          <w:sz w:val="28"/>
        </w:rPr>
        <w:t xml:space="preserve">Заседа Ю. И.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Людей нельзя мерить общим аршином</w:t>
      </w:r>
      <w:r>
        <w:t xml:space="preserve"> - </w:t>
      </w:r>
      <w:r w:rsidRPr="009A009B">
        <w:t>вроде бы непреложная истина. В интимных отношениях лучше не ориентироваться на других. Это каждый понимает. Но понимание остается пониманием</w:t>
      </w:r>
      <w:r>
        <w:t xml:space="preserve">, </w:t>
      </w:r>
      <w:r w:rsidRPr="009A009B">
        <w:t>пока в мужской беседе не всплывает "та самая" щекотливая тема. Тогда одни начинают беззастенчиво врать</w:t>
      </w:r>
      <w:r>
        <w:t xml:space="preserve">, </w:t>
      </w:r>
      <w:r w:rsidRPr="009A009B">
        <w:t>а другие</w:t>
      </w:r>
      <w:r>
        <w:t xml:space="preserve">, </w:t>
      </w:r>
      <w:r w:rsidRPr="009A009B">
        <w:t>примерив чужое вранье к своим</w:t>
      </w:r>
      <w:r>
        <w:t xml:space="preserve">, </w:t>
      </w:r>
      <w:r w:rsidRPr="009A009B">
        <w:t>куда более скромным</w:t>
      </w:r>
      <w:r>
        <w:t xml:space="preserve">, </w:t>
      </w:r>
      <w:r w:rsidRPr="009A009B">
        <w:t>показателям</w:t>
      </w:r>
      <w:r>
        <w:t xml:space="preserve">, </w:t>
      </w:r>
      <w:r w:rsidRPr="009A009B">
        <w:t>ворочаются всю ночь</w:t>
      </w:r>
      <w:r>
        <w:t xml:space="preserve">, </w:t>
      </w:r>
      <w:r w:rsidRPr="009A009B">
        <w:t>переживая свою мнимую неполноценность</w:t>
      </w:r>
      <w:r>
        <w:t xml:space="preserve">, </w:t>
      </w:r>
      <w:r w:rsidRPr="009A009B">
        <w:t>а наутро бегут к врачу</w:t>
      </w:r>
      <w:r>
        <w:t xml:space="preserve"> - </w:t>
      </w:r>
      <w:r w:rsidRPr="009A009B">
        <w:t>выяснить</w:t>
      </w:r>
      <w:r>
        <w:t xml:space="preserve">, </w:t>
      </w:r>
      <w:r w:rsidRPr="009A009B">
        <w:t xml:space="preserve">все ли у них в норме.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Возможно</w:t>
      </w:r>
      <w:r>
        <w:t xml:space="preserve">, </w:t>
      </w:r>
      <w:r w:rsidRPr="009A009B">
        <w:t>я разочарую читателя</w:t>
      </w:r>
      <w:r>
        <w:t xml:space="preserve"> - </w:t>
      </w:r>
      <w:r w:rsidRPr="009A009B">
        <w:t>норма норме рознь. Действительно</w:t>
      </w:r>
      <w:r>
        <w:t xml:space="preserve">, </w:t>
      </w:r>
      <w:r w:rsidRPr="009A009B">
        <w:t>нелепо требовать от среднего студента бегать стометровку за 11 секунд. Но если это студент института физкультуры</w:t>
      </w:r>
      <w:r>
        <w:t xml:space="preserve">, </w:t>
      </w:r>
      <w:r w:rsidRPr="009A009B">
        <w:t>то двоечника</w:t>
      </w:r>
      <w:r>
        <w:t xml:space="preserve">, </w:t>
      </w:r>
      <w:r w:rsidRPr="009A009B">
        <w:t>не выполнившего норматив</w:t>
      </w:r>
      <w:r>
        <w:t xml:space="preserve">, </w:t>
      </w:r>
      <w:r w:rsidRPr="009A009B">
        <w:t>впору отчислить. Факторов</w:t>
      </w:r>
      <w:r>
        <w:t xml:space="preserve">, </w:t>
      </w:r>
      <w:r w:rsidRPr="009A009B">
        <w:t>определяющих вашу индивидуальную норму много. Все их можно учесть только при детальном обследовании. Но все же есть самый общий показатель</w:t>
      </w:r>
      <w:r>
        <w:t xml:space="preserve">, </w:t>
      </w:r>
      <w:r w:rsidRPr="009A009B">
        <w:t>определить который можно</w:t>
      </w:r>
      <w:r>
        <w:t xml:space="preserve">, </w:t>
      </w:r>
      <w:r w:rsidRPr="009A009B">
        <w:t xml:space="preserve">не выходя из дома. Это половая конституция.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Половая конституция</w:t>
      </w:r>
      <w:r>
        <w:t xml:space="preserve"> - </w:t>
      </w:r>
      <w:r w:rsidRPr="009A009B">
        <w:t>совокупность физиологических показателей организма</w:t>
      </w:r>
      <w:r>
        <w:t xml:space="preserve">, </w:t>
      </w:r>
      <w:r w:rsidRPr="009A009B">
        <w:t>определяющих его сексуальное функционирование</w:t>
      </w:r>
      <w:r>
        <w:t xml:space="preserve">, </w:t>
      </w:r>
      <w:r w:rsidRPr="009A009B">
        <w:t>детерминированных внутренними процессами</w:t>
      </w:r>
      <w:r>
        <w:t xml:space="preserve">, </w:t>
      </w:r>
      <w:r w:rsidRPr="009A009B">
        <w:t>непосредственно связанными с генетическими факторами и особенностями раннего</w:t>
      </w:r>
      <w:r>
        <w:t xml:space="preserve">, </w:t>
      </w:r>
      <w:r w:rsidRPr="009A009B">
        <w:t>по большей части</w:t>
      </w:r>
      <w:r>
        <w:t xml:space="preserve"> - </w:t>
      </w:r>
      <w:r w:rsidRPr="009A009B">
        <w:t>внутриутробного</w:t>
      </w:r>
      <w:r>
        <w:t xml:space="preserve">, </w:t>
      </w:r>
      <w:r w:rsidRPr="009A009B">
        <w:t>развития. Половая конституция задает важнейшие точки отсчета</w:t>
      </w:r>
      <w:r>
        <w:t xml:space="preserve">, </w:t>
      </w:r>
      <w:r w:rsidRPr="009A009B">
        <w:t xml:space="preserve">исходя из которых можно судить об индивидуальной норме.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Предлагаемая ниже шкала векторного определения половой конституции</w:t>
      </w:r>
      <w:r>
        <w:t xml:space="preserve"> - </w:t>
      </w:r>
      <w:r w:rsidRPr="009A009B">
        <w:t>хороший инструмент</w:t>
      </w:r>
      <w:r>
        <w:t xml:space="preserve">, </w:t>
      </w:r>
      <w:r w:rsidRPr="009A009B">
        <w:t>который позволяет определить тип половой конституции и сличить реальные и ожидаемые показатели. В случае</w:t>
      </w:r>
      <w:r>
        <w:t xml:space="preserve">, </w:t>
      </w:r>
      <w:r w:rsidRPr="009A009B">
        <w:t>если реальное положение вещей укладывается в предполагаемое</w:t>
      </w:r>
      <w:r>
        <w:t xml:space="preserve">, </w:t>
      </w:r>
      <w:r w:rsidRPr="009A009B">
        <w:t>можно говорить об отсутствии патологии. Иначе</w:t>
      </w:r>
      <w:r>
        <w:t xml:space="preserve"> - </w:t>
      </w:r>
      <w:r w:rsidRPr="009A009B">
        <w:t xml:space="preserve">необходим визит к сексопатологу.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Чтобы определить свою половую конституцию</w:t>
      </w:r>
      <w:r>
        <w:t xml:space="preserve">, </w:t>
      </w:r>
      <w:r w:rsidRPr="009A009B">
        <w:t xml:space="preserve">надо выяснить 7 показателей.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1. Возраст пробуждения либидо (ВПЛ) (полового влечения)</w:t>
      </w:r>
      <w:r>
        <w:t xml:space="preserve"> - </w:t>
      </w:r>
      <w:r w:rsidRPr="009A009B">
        <w:t>годы (число). Вспомните</w:t>
      </w:r>
      <w:r>
        <w:t xml:space="preserve">, </w:t>
      </w:r>
      <w:r w:rsidRPr="009A009B">
        <w:t>когда возникло влечение к противоположному полу</w:t>
      </w:r>
      <w:r>
        <w:t xml:space="preserve">, </w:t>
      </w:r>
      <w:r w:rsidRPr="009A009B">
        <w:t xml:space="preserve">запишите эту цифру.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2. Возраст первого семяизвержения (ВПС)</w:t>
      </w:r>
      <w:r>
        <w:t xml:space="preserve"> - </w:t>
      </w:r>
      <w:r w:rsidRPr="009A009B">
        <w:t>годы (число)</w:t>
      </w:r>
      <w:r>
        <w:t xml:space="preserve"> - </w:t>
      </w:r>
      <w:r w:rsidRPr="009A009B">
        <w:t>независимо от того</w:t>
      </w:r>
      <w:r>
        <w:t xml:space="preserve">, </w:t>
      </w:r>
      <w:r w:rsidRPr="009A009B">
        <w:t>каким образом семяизвержение произошло</w:t>
      </w:r>
      <w:r>
        <w:t xml:space="preserve"> - </w:t>
      </w:r>
      <w:r w:rsidRPr="009A009B">
        <w:t>при половом акте</w:t>
      </w:r>
      <w:r>
        <w:t xml:space="preserve">, </w:t>
      </w:r>
      <w:r w:rsidRPr="009A009B">
        <w:t>мастурбации</w:t>
      </w:r>
      <w:r>
        <w:t xml:space="preserve">, </w:t>
      </w:r>
      <w:r w:rsidRPr="009A009B">
        <w:t xml:space="preserve">поллюции.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3. Трохантерный индекс (ТИ) (число). Чтобы его рассчитать</w:t>
      </w:r>
      <w:r>
        <w:t xml:space="preserve">, </w:t>
      </w:r>
      <w:r w:rsidRPr="009A009B">
        <w:t>нужно измерить длину ноги от большого вертела бедренной кости (он легко прощупывается</w:t>
      </w:r>
      <w:r>
        <w:t xml:space="preserve">, </w:t>
      </w:r>
      <w:r w:rsidRPr="009A009B">
        <w:t xml:space="preserve">если чуть-чуть покачать бедрами) до пола и рост. В обоих случаях вам потребуется помощник. Трохантерный индекс равен отношению роста к длине ноги.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4. Характер оволосения лобка (ОЛ)- горизонтальное (по женскому типу)</w:t>
      </w:r>
      <w:r>
        <w:t xml:space="preserve">, </w:t>
      </w:r>
      <w:r w:rsidRPr="009A009B">
        <w:t>с переходом на живот в виде дорожки волос к пупку (по мужскому типу)</w:t>
      </w:r>
      <w:r>
        <w:t xml:space="preserve">, </w:t>
      </w:r>
      <w:r w:rsidRPr="009A009B">
        <w:t xml:space="preserve">по мужскому типу с избыточным оволосением (гипертрихоз).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5. Максимальный эксцесс (МЭ) (число). Это максимальное количество семяизвержений за сутки (за 24 часа</w:t>
      </w:r>
      <w:r>
        <w:t xml:space="preserve">, </w:t>
      </w:r>
      <w:r w:rsidRPr="009A009B">
        <w:t>а не за календарный день)</w:t>
      </w:r>
      <w:r>
        <w:t xml:space="preserve">, </w:t>
      </w:r>
      <w:r w:rsidRPr="009A009B">
        <w:t>за всю жизнь</w:t>
      </w:r>
      <w:r>
        <w:t xml:space="preserve">, </w:t>
      </w:r>
      <w:r w:rsidRPr="009A009B">
        <w:t>независимо от того</w:t>
      </w:r>
      <w:r>
        <w:t xml:space="preserve">, </w:t>
      </w:r>
      <w:r w:rsidRPr="009A009B">
        <w:t xml:space="preserve">каким образом семяизвержение произошло.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6. Время достижения условного физиологического ритма (УФР) после женитьбы</w:t>
      </w:r>
      <w:r>
        <w:t xml:space="preserve"> - </w:t>
      </w:r>
      <w:r w:rsidRPr="009A009B">
        <w:t>годы (число). Условным физиологическим ритмом считается 2-3 половых акта в неделю. Внимание! Не все женаты</w:t>
      </w:r>
      <w:r>
        <w:t xml:space="preserve">, </w:t>
      </w:r>
      <w:r w:rsidRPr="009A009B">
        <w:t xml:space="preserve">и не все женатые достигли УФР. Эта графа может остаться незаполненной.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7. Абсолютный возраст достижения УФР</w:t>
      </w:r>
      <w:r>
        <w:t xml:space="preserve"> - </w:t>
      </w:r>
      <w:r w:rsidRPr="009A009B">
        <w:t xml:space="preserve">годы (число). Эта графа может остаться незаполненной.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Теперь</w:t>
      </w:r>
      <w:r>
        <w:t xml:space="preserve">, </w:t>
      </w:r>
      <w:r w:rsidRPr="009A009B">
        <w:t>когда все показатели определены</w:t>
      </w:r>
      <w:r>
        <w:t xml:space="preserve">, </w:t>
      </w:r>
      <w:r w:rsidRPr="009A009B">
        <w:t>надо найти их в таблице. В каком из столбцов окажется большинство ваших показателей</w:t>
      </w:r>
      <w:r>
        <w:t xml:space="preserve">, </w:t>
      </w:r>
      <w:r w:rsidRPr="009A009B">
        <w:t xml:space="preserve">такой тип половой конституции у вас и наблюдается. </w:t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76"/>
        <w:gridCol w:w="2596"/>
        <w:gridCol w:w="2619"/>
        <w:gridCol w:w="2327"/>
      </w:tblGrid>
      <w:tr w:rsidR="00D91EA9" w:rsidRPr="009A009B" w:rsidTr="00CB6EB2">
        <w:trPr>
          <w:tblCellSpacing w:w="15" w:type="dxa"/>
          <w:jc w:val="center"/>
        </w:trPr>
        <w:tc>
          <w:tcPr>
            <w:tcW w:w="1143" w:type="pct"/>
            <w:vMerge w:val="restart"/>
            <w:shd w:val="clear" w:color="auto" w:fill="007BB7"/>
            <w:vAlign w:val="center"/>
          </w:tcPr>
          <w:p w:rsidR="00D91EA9" w:rsidRPr="009A009B" w:rsidRDefault="00D91EA9" w:rsidP="00CB6EB2">
            <w:r w:rsidRPr="009A009B">
              <w:t>Показатели</w:t>
            </w:r>
          </w:p>
        </w:tc>
        <w:tc>
          <w:tcPr>
            <w:tcW w:w="3808" w:type="pct"/>
            <w:gridSpan w:val="3"/>
            <w:shd w:val="clear" w:color="auto" w:fill="007BB7"/>
            <w:vAlign w:val="center"/>
          </w:tcPr>
          <w:p w:rsidR="00D91EA9" w:rsidRPr="009A009B" w:rsidRDefault="00D91EA9" w:rsidP="00CB6EB2">
            <w:r w:rsidRPr="009A009B">
              <w:t xml:space="preserve">Половая конституция </w:t>
            </w:r>
          </w:p>
        </w:tc>
      </w:tr>
      <w:tr w:rsidR="00D91EA9" w:rsidRPr="009A009B" w:rsidTr="00CB6EB2">
        <w:trPr>
          <w:tblCellSpacing w:w="15" w:type="dxa"/>
          <w:jc w:val="center"/>
        </w:trPr>
        <w:tc>
          <w:tcPr>
            <w:tcW w:w="1143" w:type="pct"/>
            <w:vMerge/>
            <w:vAlign w:val="center"/>
          </w:tcPr>
          <w:p w:rsidR="00D91EA9" w:rsidRPr="009A009B" w:rsidRDefault="00D91EA9" w:rsidP="00CB6EB2"/>
        </w:tc>
        <w:tc>
          <w:tcPr>
            <w:tcW w:w="1314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>Слабая</w:t>
            </w:r>
          </w:p>
        </w:tc>
        <w:tc>
          <w:tcPr>
            <w:tcW w:w="1326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>Средняя</w:t>
            </w:r>
          </w:p>
        </w:tc>
        <w:tc>
          <w:tcPr>
            <w:tcW w:w="1136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 xml:space="preserve">Сильная </w:t>
            </w:r>
          </w:p>
        </w:tc>
      </w:tr>
      <w:tr w:rsidR="00D91EA9" w:rsidRPr="009A009B" w:rsidTr="00CB6EB2">
        <w:trPr>
          <w:tblCellSpacing w:w="15" w:type="dxa"/>
          <w:jc w:val="center"/>
        </w:trPr>
        <w:tc>
          <w:tcPr>
            <w:tcW w:w="1143" w:type="pct"/>
            <w:vAlign w:val="center"/>
          </w:tcPr>
          <w:p w:rsidR="00D91EA9" w:rsidRPr="009A009B" w:rsidRDefault="00D91EA9" w:rsidP="00CB6EB2">
            <w:r w:rsidRPr="009A009B">
              <w:t>ВПЛ</w:t>
            </w:r>
          </w:p>
        </w:tc>
        <w:tc>
          <w:tcPr>
            <w:tcW w:w="1314" w:type="pct"/>
            <w:vAlign w:val="center"/>
          </w:tcPr>
          <w:p w:rsidR="00D91EA9" w:rsidRPr="009A009B" w:rsidRDefault="00D91EA9" w:rsidP="00CB6EB2">
            <w:r w:rsidRPr="009A009B">
              <w:t>от 15 лет и старше</w:t>
            </w:r>
          </w:p>
        </w:tc>
        <w:tc>
          <w:tcPr>
            <w:tcW w:w="1326" w:type="pct"/>
            <w:vAlign w:val="center"/>
          </w:tcPr>
          <w:p w:rsidR="00D91EA9" w:rsidRPr="009A009B" w:rsidRDefault="00D91EA9" w:rsidP="00CB6EB2">
            <w:r w:rsidRPr="009A009B">
              <w:t>от 12 до 14 лет</w:t>
            </w:r>
          </w:p>
        </w:tc>
        <w:tc>
          <w:tcPr>
            <w:tcW w:w="1136" w:type="pct"/>
            <w:vAlign w:val="center"/>
          </w:tcPr>
          <w:p w:rsidR="00D91EA9" w:rsidRPr="009A009B" w:rsidRDefault="00D91EA9" w:rsidP="00CB6EB2">
            <w:r w:rsidRPr="009A009B">
              <w:t>до 11 лет</w:t>
            </w:r>
          </w:p>
        </w:tc>
      </w:tr>
      <w:tr w:rsidR="00D91EA9" w:rsidRPr="009A009B" w:rsidTr="00CB6EB2">
        <w:trPr>
          <w:tblCellSpacing w:w="15" w:type="dxa"/>
          <w:jc w:val="center"/>
        </w:trPr>
        <w:tc>
          <w:tcPr>
            <w:tcW w:w="1143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>ВПС</w:t>
            </w:r>
          </w:p>
        </w:tc>
        <w:tc>
          <w:tcPr>
            <w:tcW w:w="1314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>от 16 лет и старше</w:t>
            </w:r>
          </w:p>
        </w:tc>
        <w:tc>
          <w:tcPr>
            <w:tcW w:w="1326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>от 13 до 15 лет</w:t>
            </w:r>
          </w:p>
        </w:tc>
        <w:tc>
          <w:tcPr>
            <w:tcW w:w="1136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 xml:space="preserve">до 12 лет </w:t>
            </w:r>
          </w:p>
        </w:tc>
      </w:tr>
      <w:tr w:rsidR="00D91EA9" w:rsidRPr="009A009B" w:rsidTr="00CB6EB2">
        <w:trPr>
          <w:tblCellSpacing w:w="15" w:type="dxa"/>
          <w:jc w:val="center"/>
        </w:trPr>
        <w:tc>
          <w:tcPr>
            <w:tcW w:w="1143" w:type="pct"/>
            <w:vAlign w:val="center"/>
          </w:tcPr>
          <w:p w:rsidR="00D91EA9" w:rsidRPr="009A009B" w:rsidRDefault="00D91EA9" w:rsidP="00CB6EB2">
            <w:r w:rsidRPr="009A009B">
              <w:t>ТИ</w:t>
            </w:r>
          </w:p>
        </w:tc>
        <w:tc>
          <w:tcPr>
            <w:tcW w:w="1314" w:type="pct"/>
            <w:vAlign w:val="center"/>
          </w:tcPr>
          <w:p w:rsidR="00D91EA9" w:rsidRPr="009A009B" w:rsidRDefault="00D91EA9" w:rsidP="00CB6EB2">
            <w:r w:rsidRPr="009A009B">
              <w:t>менее 1</w:t>
            </w:r>
            <w:r>
              <w:t xml:space="preserve">, </w:t>
            </w:r>
            <w:r w:rsidRPr="009A009B">
              <w:t>91</w:t>
            </w:r>
          </w:p>
        </w:tc>
        <w:tc>
          <w:tcPr>
            <w:tcW w:w="1326" w:type="pct"/>
            <w:vAlign w:val="center"/>
          </w:tcPr>
          <w:p w:rsidR="00D91EA9" w:rsidRPr="009A009B" w:rsidRDefault="00D91EA9" w:rsidP="00CB6EB2">
            <w:r w:rsidRPr="009A009B">
              <w:t>от 1</w:t>
            </w:r>
            <w:r>
              <w:t xml:space="preserve">, </w:t>
            </w:r>
            <w:r w:rsidRPr="009A009B">
              <w:t>92 до 1</w:t>
            </w:r>
            <w:r>
              <w:t xml:space="preserve">, </w:t>
            </w:r>
            <w:r w:rsidRPr="009A009B">
              <w:t>98</w:t>
            </w:r>
          </w:p>
        </w:tc>
        <w:tc>
          <w:tcPr>
            <w:tcW w:w="1136" w:type="pct"/>
            <w:vAlign w:val="center"/>
          </w:tcPr>
          <w:p w:rsidR="00D91EA9" w:rsidRPr="009A009B" w:rsidRDefault="00D91EA9" w:rsidP="00CB6EB2">
            <w:r w:rsidRPr="009A009B">
              <w:t>более 1</w:t>
            </w:r>
            <w:r>
              <w:t xml:space="preserve">, </w:t>
            </w:r>
            <w:r w:rsidRPr="009A009B">
              <w:t xml:space="preserve">99 </w:t>
            </w:r>
          </w:p>
        </w:tc>
      </w:tr>
      <w:tr w:rsidR="00D91EA9" w:rsidRPr="009A009B" w:rsidTr="00CB6EB2">
        <w:trPr>
          <w:tblCellSpacing w:w="15" w:type="dxa"/>
          <w:jc w:val="center"/>
        </w:trPr>
        <w:tc>
          <w:tcPr>
            <w:tcW w:w="1143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>ОЛ</w:t>
            </w:r>
          </w:p>
        </w:tc>
        <w:tc>
          <w:tcPr>
            <w:tcW w:w="1314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>по женскому типу</w:t>
            </w:r>
          </w:p>
        </w:tc>
        <w:tc>
          <w:tcPr>
            <w:tcW w:w="1326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 xml:space="preserve">по мужскому типу </w:t>
            </w:r>
          </w:p>
        </w:tc>
        <w:tc>
          <w:tcPr>
            <w:tcW w:w="1136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 xml:space="preserve">гипертрихозы </w:t>
            </w:r>
          </w:p>
        </w:tc>
      </w:tr>
      <w:tr w:rsidR="00D91EA9" w:rsidRPr="009A009B" w:rsidTr="00CB6EB2">
        <w:trPr>
          <w:tblCellSpacing w:w="15" w:type="dxa"/>
          <w:jc w:val="center"/>
        </w:trPr>
        <w:tc>
          <w:tcPr>
            <w:tcW w:w="1143" w:type="pct"/>
            <w:vAlign w:val="center"/>
          </w:tcPr>
          <w:p w:rsidR="00D91EA9" w:rsidRPr="009A009B" w:rsidRDefault="00D91EA9" w:rsidP="00CB6EB2">
            <w:r w:rsidRPr="009A009B">
              <w:t>МЭ</w:t>
            </w:r>
          </w:p>
        </w:tc>
        <w:tc>
          <w:tcPr>
            <w:tcW w:w="1314" w:type="pct"/>
            <w:vAlign w:val="center"/>
          </w:tcPr>
          <w:p w:rsidR="00D91EA9" w:rsidRPr="009A009B" w:rsidRDefault="00D91EA9" w:rsidP="00CB6EB2">
            <w:r w:rsidRPr="009A009B">
              <w:t xml:space="preserve">3 и менее </w:t>
            </w:r>
          </w:p>
        </w:tc>
        <w:tc>
          <w:tcPr>
            <w:tcW w:w="1326" w:type="pct"/>
            <w:vAlign w:val="center"/>
          </w:tcPr>
          <w:p w:rsidR="00D91EA9" w:rsidRPr="009A009B" w:rsidRDefault="00D91EA9" w:rsidP="00CB6EB2">
            <w:r w:rsidRPr="009A009B">
              <w:t>от 4 до 6</w:t>
            </w:r>
          </w:p>
        </w:tc>
        <w:tc>
          <w:tcPr>
            <w:tcW w:w="1136" w:type="pct"/>
            <w:vAlign w:val="center"/>
          </w:tcPr>
          <w:p w:rsidR="00D91EA9" w:rsidRPr="009A009B" w:rsidRDefault="00D91EA9" w:rsidP="00CB6EB2">
            <w:r w:rsidRPr="009A009B">
              <w:t xml:space="preserve">7 и более </w:t>
            </w:r>
          </w:p>
        </w:tc>
      </w:tr>
      <w:tr w:rsidR="00D91EA9" w:rsidRPr="009A009B" w:rsidTr="00CB6EB2">
        <w:trPr>
          <w:tblCellSpacing w:w="15" w:type="dxa"/>
          <w:jc w:val="center"/>
        </w:trPr>
        <w:tc>
          <w:tcPr>
            <w:tcW w:w="1143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>УФР (в браке)</w:t>
            </w:r>
          </w:p>
        </w:tc>
        <w:tc>
          <w:tcPr>
            <w:tcW w:w="1314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>до 1 года</w:t>
            </w:r>
          </w:p>
        </w:tc>
        <w:tc>
          <w:tcPr>
            <w:tcW w:w="1326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>от 2 до 10 лет</w:t>
            </w:r>
          </w:p>
        </w:tc>
        <w:tc>
          <w:tcPr>
            <w:tcW w:w="1136" w:type="pct"/>
            <w:shd w:val="clear" w:color="auto" w:fill="E8F3FF"/>
            <w:vAlign w:val="center"/>
          </w:tcPr>
          <w:p w:rsidR="00D91EA9" w:rsidRPr="009A009B" w:rsidRDefault="00D91EA9" w:rsidP="00CB6EB2">
            <w:r w:rsidRPr="009A009B">
              <w:t xml:space="preserve">более 10 лет </w:t>
            </w:r>
          </w:p>
        </w:tc>
      </w:tr>
      <w:tr w:rsidR="00D91EA9" w:rsidRPr="009A009B" w:rsidTr="00CB6EB2">
        <w:trPr>
          <w:tblCellSpacing w:w="15" w:type="dxa"/>
          <w:jc w:val="center"/>
        </w:trPr>
        <w:tc>
          <w:tcPr>
            <w:tcW w:w="1143" w:type="pct"/>
            <w:vAlign w:val="center"/>
          </w:tcPr>
          <w:p w:rsidR="00D91EA9" w:rsidRPr="009A009B" w:rsidRDefault="00D91EA9" w:rsidP="00CB6EB2">
            <w:r w:rsidRPr="009A009B">
              <w:t>УФР (возраст)</w:t>
            </w:r>
          </w:p>
        </w:tc>
        <w:tc>
          <w:tcPr>
            <w:tcW w:w="1314" w:type="pct"/>
            <w:vAlign w:val="center"/>
          </w:tcPr>
          <w:p w:rsidR="00D91EA9" w:rsidRPr="009A009B" w:rsidRDefault="00D91EA9" w:rsidP="00CB6EB2">
            <w:r w:rsidRPr="009A009B">
              <w:t>до 26 лет</w:t>
            </w:r>
          </w:p>
        </w:tc>
        <w:tc>
          <w:tcPr>
            <w:tcW w:w="1326" w:type="pct"/>
            <w:vAlign w:val="center"/>
          </w:tcPr>
          <w:p w:rsidR="00D91EA9" w:rsidRPr="009A009B" w:rsidRDefault="00D91EA9" w:rsidP="00CB6EB2">
            <w:r w:rsidRPr="009A009B">
              <w:t>от 27 до 40 лет</w:t>
            </w:r>
          </w:p>
        </w:tc>
        <w:tc>
          <w:tcPr>
            <w:tcW w:w="1136" w:type="pct"/>
            <w:vAlign w:val="center"/>
          </w:tcPr>
          <w:p w:rsidR="00D91EA9" w:rsidRPr="009A009B" w:rsidRDefault="00D91EA9" w:rsidP="00CB6EB2">
            <w:r w:rsidRPr="009A009B">
              <w:t xml:space="preserve">более 40 лет </w:t>
            </w:r>
          </w:p>
        </w:tc>
      </w:tr>
    </w:tbl>
    <w:p w:rsidR="00D91EA9" w:rsidRPr="009A009B" w:rsidRDefault="00D91EA9" w:rsidP="00D91EA9">
      <w:pPr>
        <w:spacing w:before="120"/>
        <w:ind w:firstLine="567"/>
        <w:jc w:val="both"/>
      </w:pPr>
      <w:r w:rsidRPr="009A009B">
        <w:t>В идеале</w:t>
      </w:r>
      <w:r>
        <w:t xml:space="preserve">, </w:t>
      </w:r>
      <w:r w:rsidRPr="009A009B">
        <w:t>все показатели должны укладываться в одном столбце</w:t>
      </w:r>
      <w:r>
        <w:t xml:space="preserve">, </w:t>
      </w:r>
      <w:r w:rsidRPr="009A009B">
        <w:t>но если они располагаются в двух соседних</w:t>
      </w:r>
      <w:r>
        <w:t xml:space="preserve"> - </w:t>
      </w:r>
      <w:r w:rsidRPr="009A009B">
        <w:t xml:space="preserve">особенно волноваться не стоит. Разброс показателей по всем трем столбцам свидетельствует о дисгармоничном сексуальном развитии. Обладателям подобных "зигзагов" суждены зигзаги и в половом функционировании. Им стоит показаться врачу. </w:t>
      </w:r>
    </w:p>
    <w:p w:rsidR="00D91EA9" w:rsidRPr="009A009B" w:rsidRDefault="00D91EA9" w:rsidP="00D91EA9">
      <w:pPr>
        <w:spacing w:before="120"/>
        <w:ind w:firstLine="567"/>
        <w:jc w:val="both"/>
      </w:pPr>
      <w:r w:rsidRPr="009A009B">
        <w:t>Теперь</w:t>
      </w:r>
      <w:r>
        <w:t xml:space="preserve">, </w:t>
      </w:r>
      <w:r w:rsidRPr="009A009B">
        <w:t>когда вы знаете свою половую конституцию</w:t>
      </w:r>
      <w:r>
        <w:t xml:space="preserve">, </w:t>
      </w:r>
      <w:r w:rsidRPr="009A009B">
        <w:t>вы можете прогнозировать свои возможности</w:t>
      </w:r>
      <w:r>
        <w:t xml:space="preserve">, </w:t>
      </w:r>
      <w:r w:rsidRPr="009A009B">
        <w:t>свою "норму". Приведем пример. Мужчина 30 лет совершает ежедневно один половой акт. Много это или мало? Если его половая конституция слабая</w:t>
      </w:r>
      <w:r>
        <w:t xml:space="preserve">, </w:t>
      </w:r>
      <w:r w:rsidRPr="009A009B">
        <w:t>то можно сказать</w:t>
      </w:r>
      <w:r>
        <w:t xml:space="preserve">, </w:t>
      </w:r>
      <w:r w:rsidRPr="009A009B">
        <w:t>что его половое функционирование находится на грани своих возможностей. Если половая конституция средняя</w:t>
      </w:r>
      <w:r>
        <w:t xml:space="preserve">, </w:t>
      </w:r>
      <w:r w:rsidRPr="009A009B">
        <w:t>то это соответствует норме</w:t>
      </w:r>
      <w:r>
        <w:t xml:space="preserve">, </w:t>
      </w:r>
      <w:r w:rsidRPr="009A009B">
        <w:t>причем его супруга не будет удивлена</w:t>
      </w:r>
      <w:r>
        <w:t xml:space="preserve">, </w:t>
      </w:r>
      <w:r w:rsidRPr="009A009B">
        <w:t>если иногда вместо одного полового акта он совершит в сутки 2 или 4. Если это носитель сильной половой конституции</w:t>
      </w:r>
      <w:r>
        <w:t xml:space="preserve">, </w:t>
      </w:r>
      <w:r w:rsidRPr="009A009B">
        <w:t xml:space="preserve">то это далеко не предел его возможностей.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EA9"/>
    <w:rsid w:val="001A35F6"/>
    <w:rsid w:val="00312C2F"/>
    <w:rsid w:val="003A42E9"/>
    <w:rsid w:val="00494BD9"/>
    <w:rsid w:val="00797732"/>
    <w:rsid w:val="00811DD4"/>
    <w:rsid w:val="009A009B"/>
    <w:rsid w:val="00A54F2A"/>
    <w:rsid w:val="00CB6EB2"/>
    <w:rsid w:val="00CD3782"/>
    <w:rsid w:val="00D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9421A0-96E4-4320-80BC-5A295C2A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1E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Определите свою половую конституцию</vt:lpstr>
    </vt:vector>
  </TitlesOfParts>
  <Company>Home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Определите свою половую конституцию</dc:title>
  <dc:subject/>
  <dc:creator>User</dc:creator>
  <cp:keywords/>
  <dc:description/>
  <cp:lastModifiedBy>admin</cp:lastModifiedBy>
  <cp:revision>2</cp:revision>
  <dcterms:created xsi:type="dcterms:W3CDTF">2014-03-28T14:20:00Z</dcterms:created>
  <dcterms:modified xsi:type="dcterms:W3CDTF">2014-03-28T14:20:00Z</dcterms:modified>
</cp:coreProperties>
</file>