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482" w:rsidRPr="00C343A7" w:rsidRDefault="00A52482" w:rsidP="00A52482">
      <w:pPr>
        <w:spacing w:before="120"/>
        <w:jc w:val="center"/>
        <w:rPr>
          <w:b/>
          <w:sz w:val="32"/>
        </w:rPr>
      </w:pPr>
      <w:r w:rsidRPr="00C343A7">
        <w:rPr>
          <w:b/>
          <w:sz w:val="32"/>
        </w:rPr>
        <w:t>Оптимизация лечения больных сахарным диабетом с артериальной гипертензией, микроальбуминурией</w:t>
      </w:r>
    </w:p>
    <w:p w:rsidR="00A52482" w:rsidRPr="00C343A7" w:rsidRDefault="00A52482" w:rsidP="00A52482">
      <w:pPr>
        <w:spacing w:before="120"/>
        <w:jc w:val="center"/>
        <w:rPr>
          <w:sz w:val="28"/>
        </w:rPr>
      </w:pPr>
      <w:r w:rsidRPr="00C343A7">
        <w:rPr>
          <w:sz w:val="28"/>
        </w:rPr>
        <w:t>Асс. Шавлохова Э.А., асс. Харебова Ф.Ю.</w:t>
      </w:r>
    </w:p>
    <w:p w:rsidR="00A52482" w:rsidRPr="00C343A7" w:rsidRDefault="00A52482" w:rsidP="00A52482">
      <w:pPr>
        <w:spacing w:before="120"/>
        <w:jc w:val="center"/>
        <w:rPr>
          <w:sz w:val="28"/>
        </w:rPr>
      </w:pPr>
      <w:r w:rsidRPr="00C343A7">
        <w:rPr>
          <w:sz w:val="28"/>
        </w:rPr>
        <w:t xml:space="preserve">Кафедра факультетской терапии с курсом эндокринологии. </w:t>
      </w:r>
    </w:p>
    <w:p w:rsidR="00A52482" w:rsidRPr="00C343A7" w:rsidRDefault="00A52482" w:rsidP="00A52482">
      <w:pPr>
        <w:spacing w:before="120"/>
        <w:jc w:val="center"/>
        <w:rPr>
          <w:sz w:val="28"/>
        </w:rPr>
      </w:pPr>
      <w:r w:rsidRPr="00C343A7">
        <w:rPr>
          <w:sz w:val="28"/>
        </w:rPr>
        <w:t>Северо-Осетинская государственная медицинская академия</w:t>
      </w:r>
    </w:p>
    <w:p w:rsidR="00A52482" w:rsidRDefault="00A52482" w:rsidP="00A52482">
      <w:pPr>
        <w:spacing w:before="120"/>
        <w:ind w:firstLine="567"/>
        <w:jc w:val="both"/>
      </w:pPr>
      <w:r w:rsidRPr="00C343A7">
        <w:t xml:space="preserve">Изучен нефропротективный эффект ингибиторов ангиотензинпревращающего фермента, антогонистов альдостерона, блокаторов АТ2-рецепторов у больных сахарным диабетом, микроальбуминурией и артериальной гипертензией. </w:t>
      </w:r>
    </w:p>
    <w:p w:rsidR="00A52482" w:rsidRPr="00C343A7" w:rsidRDefault="00A52482" w:rsidP="00A52482">
      <w:pPr>
        <w:spacing w:before="120"/>
        <w:ind w:firstLine="567"/>
        <w:jc w:val="both"/>
      </w:pPr>
      <w:r w:rsidRPr="00C343A7">
        <w:t>По данным экспертов ВОЗ, в мире более 100 млн. человек страдают сахарным диабетом (СД). Частота встречаемости СД в России достигает 1,5 – 3,5 %. У больных</w:t>
      </w:r>
      <w:r>
        <w:t xml:space="preserve"> </w:t>
      </w:r>
      <w:r w:rsidRPr="00C343A7">
        <w:t>инсулинозависимым СД частота поражения почек составляет 40 % [1]. Примерно у 70 % больных инсулинонезависимым СД отмечают стойкую микроальбуминурию, переходящую в протеинурию, 80 % таких больных погибают от уремии [2].</w:t>
      </w:r>
    </w:p>
    <w:p w:rsidR="00A52482" w:rsidRDefault="00A52482" w:rsidP="00A52482">
      <w:pPr>
        <w:spacing w:before="120"/>
        <w:ind w:firstLine="567"/>
        <w:jc w:val="both"/>
      </w:pPr>
      <w:r w:rsidRPr="00C343A7">
        <w:t>К структурным и функциональным нарушениям, определяющим прогрессирование патологии почек, относятся [1,3]:</w:t>
      </w:r>
    </w:p>
    <w:p w:rsidR="00A52482" w:rsidRDefault="00A52482" w:rsidP="00A52482">
      <w:pPr>
        <w:spacing w:before="120"/>
        <w:ind w:firstLine="567"/>
        <w:jc w:val="both"/>
      </w:pPr>
      <w:r w:rsidRPr="00C343A7">
        <w:t>- увеличение скорости клубочковой фильтрации за счет спазма эфферентных артериол, возникающего под действием ангиотензина II;</w:t>
      </w:r>
    </w:p>
    <w:p w:rsidR="00A52482" w:rsidRDefault="00A52482" w:rsidP="00A52482">
      <w:pPr>
        <w:spacing w:before="120"/>
        <w:ind w:firstLine="567"/>
        <w:jc w:val="both"/>
      </w:pPr>
      <w:r w:rsidRPr="00C343A7">
        <w:t>- изменение заряда почечного фильтра, приводящее к уменьшению силы отталкивания молекул альбумина и появлению его в моче;</w:t>
      </w:r>
    </w:p>
    <w:p w:rsidR="00A52482" w:rsidRPr="00C343A7" w:rsidRDefault="00A52482" w:rsidP="00A52482">
      <w:pPr>
        <w:spacing w:before="120"/>
        <w:ind w:firstLine="567"/>
        <w:jc w:val="both"/>
      </w:pPr>
      <w:r w:rsidRPr="00C343A7">
        <w:t>- утолщение и нарушение целостности почечного фильтра за счет пролиферации мезангия, увеличения числа фибробластов и, как следствие, разрастания коллагеновых волокон в строме почки и непосредственно в почечном клубочке.</w:t>
      </w:r>
    </w:p>
    <w:p w:rsidR="00A52482" w:rsidRPr="00C343A7" w:rsidRDefault="00A52482" w:rsidP="00A52482">
      <w:pPr>
        <w:spacing w:before="120"/>
        <w:ind w:firstLine="567"/>
        <w:jc w:val="both"/>
      </w:pPr>
      <w:r w:rsidRPr="00C343A7">
        <w:t>Эти изменения клубочкового аппарата почки формируются под влиянием повышенной активности ренин-ангиотензин-альдостероновой системы (РААС), в первую очередь основных ее гормонов – ангиотензина II и альдостерона. Поэтому представляется важной блокада повышенной активности нейрогормонов с целью осуществления адекватной нефропротекции.</w:t>
      </w:r>
    </w:p>
    <w:p w:rsidR="00A52482" w:rsidRPr="00C343A7" w:rsidRDefault="00A52482" w:rsidP="00A52482">
      <w:pPr>
        <w:spacing w:before="120"/>
        <w:ind w:firstLine="567"/>
        <w:jc w:val="both"/>
      </w:pPr>
      <w:r w:rsidRPr="00C343A7">
        <w:t>Заслуживают внимания многочисленные работы по благоприятному нефропротективному действию ингибиторов ангиотензинпревращающего фермента (АПФ), или, как их сейчас называют,</w:t>
      </w:r>
      <w:r>
        <w:t xml:space="preserve"> </w:t>
      </w:r>
      <w:r w:rsidRPr="00C343A7">
        <w:t>нейрогормональных модуляторов. Однако препараты этой группы не обеспечивают полное подавление РААС.</w:t>
      </w:r>
    </w:p>
    <w:p w:rsidR="00A52482" w:rsidRPr="00C343A7" w:rsidRDefault="00A52482" w:rsidP="00A52482">
      <w:pPr>
        <w:spacing w:before="120"/>
        <w:ind w:firstLine="567"/>
        <w:jc w:val="both"/>
      </w:pPr>
      <w:r w:rsidRPr="00C343A7">
        <w:t>Известно два пути синтеза ангиотензина II. Первый осуществляется в циркулирующей крови при участии АПФ, а второй -</w:t>
      </w:r>
      <w:r>
        <w:t xml:space="preserve"> </w:t>
      </w:r>
      <w:r w:rsidRPr="00C343A7">
        <w:t>в тканях под влиянием ферментов химаз. Ведущим при хронических процессах является второй путь. С целью блокады действия ангиотензина II на тканевом уровне используют блокаторы ангиотензиновых рецепторов. Вместе с тем, применение двух групп препаратов не обеспечивает адекватное подавление эффектов альдостерона, синтез которого зависит не только от ангиотензина II, но и от уровня ионов калия, гормонов роста, эндотелина I и других биологически активных веществ [1,4]. Альдостерон потенцирует процесс фиброзирования в почечном клубочке. Таким образом, более полная блокада РААС способна оказать благоприятное нефропротективное действие, в частности, за счет замедления фиброза почечных клубочков.</w:t>
      </w:r>
    </w:p>
    <w:p w:rsidR="00A52482" w:rsidRPr="00C343A7" w:rsidRDefault="00A52482" w:rsidP="00A52482">
      <w:pPr>
        <w:spacing w:before="120"/>
        <w:ind w:firstLine="567"/>
        <w:jc w:val="both"/>
      </w:pPr>
      <w:r w:rsidRPr="00C343A7">
        <w:t>Учитывая определенную роль ИАПФ в обеспечении нефропротекции у больных СД, микроальбуминурией и артериальной гипертензией, с одной стороны, и замедление фиброза почечных артерий за счет блокады альдостерона, с другой, целесообразным представлялось изучение влияния комбинированной терапии и монотерапии у больных СД, микроальбуминурией и артериальной гипертензией на течение болезни.</w:t>
      </w:r>
    </w:p>
    <w:p w:rsidR="00A52482" w:rsidRPr="00C343A7" w:rsidRDefault="00A52482" w:rsidP="00A52482">
      <w:pPr>
        <w:spacing w:before="120"/>
        <w:ind w:firstLine="567"/>
        <w:jc w:val="both"/>
      </w:pPr>
      <w:r w:rsidRPr="00C343A7">
        <w:t>Материал и методы. Было обследовано 32 больных СД II и артериальной гипертензией, находившихся в эндокринологической больнице г. Владикавказа.</w:t>
      </w:r>
    </w:p>
    <w:p w:rsidR="00A52482" w:rsidRPr="00C343A7" w:rsidRDefault="00A52482" w:rsidP="00A52482">
      <w:pPr>
        <w:spacing w:before="120"/>
        <w:ind w:firstLine="567"/>
        <w:jc w:val="both"/>
      </w:pPr>
      <w:r w:rsidRPr="00C343A7">
        <w:t>Критериями включения были: СД инсулинопотребный; стабильная гликемия на протяжении 30 дней на фоне гипогликемизирующей терапии; альбуминурия от 20 до 300 мг/сут, в анамнезе артериальная гипертензия в течение 5 лет; скорость клубочковой фильтрации от 40 до 80 мл/мин; сывороточный уровень креатинина от 44 до 115 мкмоль/л. Среди обследованных было 20 женщин; 22 мужчины. В обследование не были включены больные, имевшие гломерулонефрит в анамнезе; патологические изменения в общем анализе мочи на момент обследования; протеинурия 4300 мг/сут; скорость клубочковой фильтрации &lt; 40 мл/мин; обострение хронического пиелонефрита; уровень креатинина &gt; 220 мкмоль/л; непереносимость изучаемых препаратов.</w:t>
      </w:r>
    </w:p>
    <w:p w:rsidR="00A52482" w:rsidRPr="00C343A7" w:rsidRDefault="00A52482" w:rsidP="00A52482">
      <w:pPr>
        <w:spacing w:before="120"/>
        <w:ind w:firstLine="567"/>
        <w:jc w:val="both"/>
      </w:pPr>
      <w:r w:rsidRPr="00C343A7">
        <w:t>Все обследованные больные были разделены на 3 группы методом случайной выборки (метод «пакета»). В 1-ю группу вошло 12 больных, получавших монотерапию ингибиторов АПФ эналаприлом, 2-я группа – комбинированная терапия эналаприлом и блокатором ангиотензивных рецепторов лозартаном (Козаар); 3-я группа – комбинированная терапия эналаприлом, лозартаном и антагонистом</w:t>
      </w:r>
      <w:r>
        <w:t xml:space="preserve"> </w:t>
      </w:r>
      <w:r w:rsidRPr="00C343A7">
        <w:t>альдостерона спиронолактоном (альдактон). Всем больным проводили определение креатинина, микроальбуминурии, скорости клубочковой фильтрации, суточное монитирование АД. Начальная доза эналаприла составляла 2,5 мг, спиронолактона – 12,5 мг. Дозу препаратов увеличивали постепенно в течение 30 дней. Целью титрования дозы было снижение АД до 130/90 мм рт.ст.</w:t>
      </w:r>
    </w:p>
    <w:p w:rsidR="00A52482" w:rsidRPr="00C343A7" w:rsidRDefault="00A52482" w:rsidP="00A52482">
      <w:pPr>
        <w:spacing w:before="120"/>
        <w:ind w:firstLine="567"/>
        <w:jc w:val="both"/>
      </w:pPr>
      <w:r w:rsidRPr="00C343A7">
        <w:t>Методы исследования. Экскрецию альбумина с мочой определяли на биохимическом анализаторе «Progress» (KONE, Финляндия). Сывороточные уровни калия и креатинина определяли каждые 7 дней. Скорость клубочковой фильтрации рассчитывали по формуле Сockcroft-Janel (пересчетный коэффициент для женщин 0,85). Суточное мониторирование АД осуществляли на АВРМ – 02/м (Meditex, Венгрия).</w:t>
      </w:r>
    </w:p>
    <w:p w:rsidR="00A52482" w:rsidRPr="00C343A7" w:rsidRDefault="00A52482" w:rsidP="00A52482">
      <w:pPr>
        <w:spacing w:before="120"/>
        <w:ind w:firstLine="567"/>
        <w:jc w:val="both"/>
      </w:pPr>
      <w:r w:rsidRPr="00C343A7">
        <w:t>Результаты исследования. Существенной динамики уровня креатинина в трех группах не отмечено. Таким образом, комбинированная терапия не приводила к ухудшению этого показателя (табл.1).</w:t>
      </w:r>
    </w:p>
    <w:p w:rsidR="00A52482" w:rsidRPr="00C343A7" w:rsidRDefault="00A52482" w:rsidP="00A52482">
      <w:pPr>
        <w:spacing w:before="120"/>
        <w:ind w:firstLine="567"/>
        <w:jc w:val="both"/>
      </w:pPr>
      <w:r w:rsidRPr="00C343A7">
        <w:t>Таблица 1</w:t>
      </w:r>
    </w:p>
    <w:p w:rsidR="00A52482" w:rsidRPr="00C343A7" w:rsidRDefault="00A52482" w:rsidP="00A52482">
      <w:pPr>
        <w:spacing w:before="120"/>
        <w:ind w:firstLine="567"/>
        <w:jc w:val="both"/>
      </w:pPr>
      <w:r w:rsidRPr="00C343A7">
        <w:t>Динамика сывороточного уровня креатинина (мкмоль/л)</w:t>
      </w:r>
    </w:p>
    <w:p w:rsidR="00A52482" w:rsidRPr="00C343A7" w:rsidRDefault="00A52482" w:rsidP="00A52482">
      <w:pPr>
        <w:spacing w:before="120"/>
        <w:ind w:firstLine="567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3"/>
        <w:gridCol w:w="2463"/>
        <w:gridCol w:w="2464"/>
        <w:gridCol w:w="2464"/>
      </w:tblGrid>
      <w:tr w:rsidR="00A52482" w:rsidRPr="00C343A7" w:rsidTr="00FF01E9">
        <w:trPr>
          <w:jc w:val="center"/>
        </w:trPr>
        <w:tc>
          <w:tcPr>
            <w:tcW w:w="1250" w:type="pct"/>
          </w:tcPr>
          <w:p w:rsidR="00A52482" w:rsidRPr="00C343A7" w:rsidRDefault="00A52482" w:rsidP="00FF01E9">
            <w:r w:rsidRPr="00C343A7">
              <w:t>Группа</w:t>
            </w:r>
          </w:p>
        </w:tc>
        <w:tc>
          <w:tcPr>
            <w:tcW w:w="1250" w:type="pct"/>
          </w:tcPr>
          <w:p w:rsidR="00A52482" w:rsidRPr="00C343A7" w:rsidRDefault="00A52482" w:rsidP="00FF01E9">
            <w:r w:rsidRPr="00C343A7">
              <w:t>I</w:t>
            </w:r>
          </w:p>
          <w:p w:rsidR="00A52482" w:rsidRPr="00C343A7" w:rsidRDefault="00A52482" w:rsidP="00FF01E9">
            <w:r w:rsidRPr="00C343A7">
              <w:t>(n=12)</w:t>
            </w:r>
          </w:p>
        </w:tc>
        <w:tc>
          <w:tcPr>
            <w:tcW w:w="1250" w:type="pct"/>
          </w:tcPr>
          <w:p w:rsidR="00A52482" w:rsidRPr="00C343A7" w:rsidRDefault="00A52482" w:rsidP="00FF01E9">
            <w:r w:rsidRPr="00C343A7">
              <w:t>II</w:t>
            </w:r>
          </w:p>
          <w:p w:rsidR="00A52482" w:rsidRPr="00C343A7" w:rsidRDefault="00A52482" w:rsidP="00FF01E9">
            <w:r w:rsidRPr="00C343A7">
              <w:t>(n=10)</w:t>
            </w:r>
          </w:p>
        </w:tc>
        <w:tc>
          <w:tcPr>
            <w:tcW w:w="1251" w:type="pct"/>
          </w:tcPr>
          <w:p w:rsidR="00A52482" w:rsidRPr="00C343A7" w:rsidRDefault="00A52482" w:rsidP="00FF01E9">
            <w:r w:rsidRPr="00C343A7">
              <w:t>III</w:t>
            </w:r>
          </w:p>
          <w:p w:rsidR="00A52482" w:rsidRPr="00C343A7" w:rsidRDefault="00A52482" w:rsidP="00FF01E9">
            <w:r w:rsidRPr="00C343A7">
              <w:t>(n=12)</w:t>
            </w:r>
          </w:p>
        </w:tc>
      </w:tr>
      <w:tr w:rsidR="00A52482" w:rsidRPr="00C343A7" w:rsidTr="00FF01E9">
        <w:trPr>
          <w:jc w:val="center"/>
        </w:trPr>
        <w:tc>
          <w:tcPr>
            <w:tcW w:w="1250" w:type="pct"/>
          </w:tcPr>
          <w:p w:rsidR="00A52482" w:rsidRPr="00C343A7" w:rsidRDefault="00A52482" w:rsidP="00FF01E9">
            <w:r w:rsidRPr="00C343A7">
              <w:t>Исходно</w:t>
            </w:r>
          </w:p>
        </w:tc>
        <w:tc>
          <w:tcPr>
            <w:tcW w:w="1250" w:type="pct"/>
          </w:tcPr>
          <w:p w:rsidR="00A52482" w:rsidRPr="00C343A7" w:rsidRDefault="00A52482" w:rsidP="00FF01E9">
            <w:r w:rsidRPr="00C343A7">
              <w:t>72,55</w:t>
            </w:r>
            <w:r w:rsidRPr="00C343A7">
              <w:sym w:font="Symbol" w:char="F0B1"/>
            </w:r>
            <w:r w:rsidRPr="00C343A7">
              <w:t>2,1</w:t>
            </w:r>
          </w:p>
        </w:tc>
        <w:tc>
          <w:tcPr>
            <w:tcW w:w="1250" w:type="pct"/>
          </w:tcPr>
          <w:p w:rsidR="00A52482" w:rsidRPr="00C343A7" w:rsidRDefault="00A52482" w:rsidP="00FF01E9">
            <w:r w:rsidRPr="00C343A7">
              <w:t>78,11</w:t>
            </w:r>
            <w:r w:rsidRPr="00C343A7">
              <w:sym w:font="Symbol" w:char="F0B1"/>
            </w:r>
            <w:r w:rsidRPr="00C343A7">
              <w:t>3,2</w:t>
            </w:r>
          </w:p>
        </w:tc>
        <w:tc>
          <w:tcPr>
            <w:tcW w:w="1251" w:type="pct"/>
          </w:tcPr>
          <w:p w:rsidR="00A52482" w:rsidRPr="00C343A7" w:rsidRDefault="00A52482" w:rsidP="00FF01E9">
            <w:r w:rsidRPr="00C343A7">
              <w:t>75,3</w:t>
            </w:r>
            <w:r w:rsidRPr="00C343A7">
              <w:sym w:font="Symbol" w:char="F0B1"/>
            </w:r>
            <w:r w:rsidRPr="00C343A7">
              <w:t>2,1</w:t>
            </w:r>
          </w:p>
        </w:tc>
      </w:tr>
      <w:tr w:rsidR="00A52482" w:rsidRPr="00C343A7" w:rsidTr="00FF01E9">
        <w:trPr>
          <w:jc w:val="center"/>
        </w:trPr>
        <w:tc>
          <w:tcPr>
            <w:tcW w:w="1250" w:type="pct"/>
          </w:tcPr>
          <w:p w:rsidR="00A52482" w:rsidRPr="00C343A7" w:rsidRDefault="00A52482" w:rsidP="00FF01E9">
            <w:r w:rsidRPr="00C343A7">
              <w:t>12 мес.</w:t>
            </w:r>
          </w:p>
        </w:tc>
        <w:tc>
          <w:tcPr>
            <w:tcW w:w="1250" w:type="pct"/>
          </w:tcPr>
          <w:p w:rsidR="00A52482" w:rsidRPr="00C343A7" w:rsidRDefault="00A52482" w:rsidP="00FF01E9">
            <w:r w:rsidRPr="00C343A7">
              <w:t>76,3</w:t>
            </w:r>
            <w:r w:rsidRPr="00C343A7">
              <w:sym w:font="Symbol" w:char="F0B1"/>
            </w:r>
            <w:r w:rsidRPr="00C343A7">
              <w:t>1,2</w:t>
            </w:r>
          </w:p>
        </w:tc>
        <w:tc>
          <w:tcPr>
            <w:tcW w:w="1250" w:type="pct"/>
          </w:tcPr>
          <w:p w:rsidR="00A52482" w:rsidRPr="00C343A7" w:rsidRDefault="00A52482" w:rsidP="00FF01E9">
            <w:r w:rsidRPr="00C343A7">
              <w:t>83,4</w:t>
            </w:r>
            <w:r w:rsidRPr="00C343A7">
              <w:sym w:font="Symbol" w:char="F0B1"/>
            </w:r>
            <w:r w:rsidRPr="00C343A7">
              <w:t>2,1</w:t>
            </w:r>
          </w:p>
        </w:tc>
        <w:tc>
          <w:tcPr>
            <w:tcW w:w="1251" w:type="pct"/>
          </w:tcPr>
          <w:p w:rsidR="00A52482" w:rsidRPr="00C343A7" w:rsidRDefault="00A52482" w:rsidP="00FF01E9">
            <w:r w:rsidRPr="00C343A7">
              <w:t>79,7</w:t>
            </w:r>
            <w:r w:rsidRPr="00C343A7">
              <w:sym w:font="Symbol" w:char="F0B1"/>
            </w:r>
            <w:r w:rsidRPr="00C343A7">
              <w:t>1,5</w:t>
            </w:r>
          </w:p>
        </w:tc>
      </w:tr>
    </w:tbl>
    <w:p w:rsidR="00A52482" w:rsidRDefault="00A52482" w:rsidP="00A52482">
      <w:pPr>
        <w:spacing w:before="120"/>
        <w:ind w:firstLine="567"/>
        <w:jc w:val="both"/>
      </w:pPr>
      <w:r w:rsidRPr="00C343A7">
        <w:t>Исходно микроальбуминурия составила, мг/сут.: в I группе – 97 – 280, во II группе – 110 – 260, в III группе – 108 – 260. В зависимости от выраженности микроальбуминурии больные каждой группы были разделены на 2 подгруппы: &lt; 200 и &gt; 200 мг/сут. Результаты лечения приведены в табл. 2.</w:t>
      </w:r>
    </w:p>
    <w:p w:rsidR="00A52482" w:rsidRPr="00C343A7" w:rsidRDefault="00A52482" w:rsidP="00A52482">
      <w:pPr>
        <w:spacing w:before="120"/>
        <w:ind w:firstLine="567"/>
        <w:jc w:val="both"/>
      </w:pPr>
      <w:r w:rsidRPr="00C343A7">
        <w:t>Таблица 2</w:t>
      </w:r>
    </w:p>
    <w:p w:rsidR="00A52482" w:rsidRPr="00C343A7" w:rsidRDefault="00A52482" w:rsidP="00A52482">
      <w:pPr>
        <w:spacing w:before="120"/>
        <w:ind w:firstLine="567"/>
        <w:jc w:val="both"/>
      </w:pPr>
      <w:r w:rsidRPr="00C343A7">
        <w:t xml:space="preserve">Динамика альбуминурии у больных с экскрецией альбуминов </w:t>
      </w:r>
    </w:p>
    <w:p w:rsidR="00A52482" w:rsidRPr="00C343A7" w:rsidRDefault="00A52482" w:rsidP="00A52482">
      <w:pPr>
        <w:spacing w:before="120"/>
        <w:ind w:firstLine="567"/>
        <w:jc w:val="both"/>
      </w:pPr>
      <w:r w:rsidRPr="00C343A7">
        <w:t>&lt;200 и &gt; 200 мг/сут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"/>
        <w:gridCol w:w="1457"/>
        <w:gridCol w:w="1457"/>
        <w:gridCol w:w="1459"/>
        <w:gridCol w:w="1457"/>
        <w:gridCol w:w="1457"/>
        <w:gridCol w:w="1460"/>
      </w:tblGrid>
      <w:tr w:rsidR="00A52482" w:rsidRPr="00C343A7" w:rsidTr="00FF01E9">
        <w:trPr>
          <w:cantSplit/>
        </w:trPr>
        <w:tc>
          <w:tcPr>
            <w:tcW w:w="509" w:type="pct"/>
            <w:vMerge w:val="restart"/>
            <w:vAlign w:val="center"/>
          </w:tcPr>
          <w:p w:rsidR="00A52482" w:rsidRPr="00C343A7" w:rsidRDefault="00A52482" w:rsidP="00FF01E9">
            <w:r w:rsidRPr="00C343A7">
              <w:t>Группа</w:t>
            </w:r>
          </w:p>
        </w:tc>
        <w:tc>
          <w:tcPr>
            <w:tcW w:w="1496" w:type="pct"/>
            <w:gridSpan w:val="2"/>
          </w:tcPr>
          <w:p w:rsidR="00A52482" w:rsidRPr="00C343A7" w:rsidRDefault="00A52482" w:rsidP="00FF01E9">
            <w:r w:rsidRPr="00C343A7">
              <w:t>I (n=12)</w:t>
            </w:r>
          </w:p>
        </w:tc>
        <w:tc>
          <w:tcPr>
            <w:tcW w:w="1497" w:type="pct"/>
            <w:gridSpan w:val="2"/>
          </w:tcPr>
          <w:p w:rsidR="00A52482" w:rsidRPr="00C343A7" w:rsidRDefault="00A52482" w:rsidP="00FF01E9">
            <w:r w:rsidRPr="00C343A7">
              <w:t>II (n=10)</w:t>
            </w:r>
          </w:p>
        </w:tc>
        <w:tc>
          <w:tcPr>
            <w:tcW w:w="1497" w:type="pct"/>
            <w:gridSpan w:val="2"/>
          </w:tcPr>
          <w:p w:rsidR="00A52482" w:rsidRPr="00C343A7" w:rsidRDefault="00A52482" w:rsidP="00FF01E9">
            <w:r w:rsidRPr="00C343A7">
              <w:t>III (n=12)</w:t>
            </w:r>
          </w:p>
        </w:tc>
      </w:tr>
      <w:tr w:rsidR="00A52482" w:rsidRPr="00C343A7" w:rsidTr="00FF01E9">
        <w:trPr>
          <w:cantSplit/>
        </w:trPr>
        <w:tc>
          <w:tcPr>
            <w:tcW w:w="509" w:type="pct"/>
            <w:vMerge/>
          </w:tcPr>
          <w:p w:rsidR="00A52482" w:rsidRPr="00C343A7" w:rsidRDefault="00A52482" w:rsidP="00FF01E9"/>
        </w:tc>
        <w:tc>
          <w:tcPr>
            <w:tcW w:w="748" w:type="pct"/>
          </w:tcPr>
          <w:p w:rsidR="00A52482" w:rsidRPr="00C343A7" w:rsidRDefault="00A52482" w:rsidP="00FF01E9">
            <w:r w:rsidRPr="00C343A7">
              <w:t>&lt; 200</w:t>
            </w:r>
          </w:p>
        </w:tc>
        <w:tc>
          <w:tcPr>
            <w:tcW w:w="748" w:type="pct"/>
          </w:tcPr>
          <w:p w:rsidR="00A52482" w:rsidRPr="00C343A7" w:rsidRDefault="00A52482" w:rsidP="00FF01E9">
            <w:r w:rsidRPr="00C343A7">
              <w:t>&gt; 200</w:t>
            </w:r>
          </w:p>
        </w:tc>
        <w:tc>
          <w:tcPr>
            <w:tcW w:w="749" w:type="pct"/>
          </w:tcPr>
          <w:p w:rsidR="00A52482" w:rsidRPr="00C343A7" w:rsidRDefault="00A52482" w:rsidP="00FF01E9">
            <w:r w:rsidRPr="00C343A7">
              <w:t>&lt; 200</w:t>
            </w:r>
          </w:p>
        </w:tc>
        <w:tc>
          <w:tcPr>
            <w:tcW w:w="748" w:type="pct"/>
          </w:tcPr>
          <w:p w:rsidR="00A52482" w:rsidRPr="00C343A7" w:rsidRDefault="00A52482" w:rsidP="00FF01E9">
            <w:r w:rsidRPr="00C343A7">
              <w:t>&gt; 200</w:t>
            </w:r>
          </w:p>
        </w:tc>
        <w:tc>
          <w:tcPr>
            <w:tcW w:w="748" w:type="pct"/>
          </w:tcPr>
          <w:p w:rsidR="00A52482" w:rsidRPr="00C343A7" w:rsidRDefault="00A52482" w:rsidP="00FF01E9">
            <w:r w:rsidRPr="00C343A7">
              <w:t>&lt; 200</w:t>
            </w:r>
          </w:p>
        </w:tc>
        <w:tc>
          <w:tcPr>
            <w:tcW w:w="749" w:type="pct"/>
          </w:tcPr>
          <w:p w:rsidR="00A52482" w:rsidRPr="00C343A7" w:rsidRDefault="00A52482" w:rsidP="00FF01E9">
            <w:r w:rsidRPr="00C343A7">
              <w:t>&gt; 200</w:t>
            </w:r>
          </w:p>
        </w:tc>
      </w:tr>
      <w:tr w:rsidR="00A52482" w:rsidRPr="00C343A7" w:rsidTr="00FF01E9">
        <w:tc>
          <w:tcPr>
            <w:tcW w:w="509" w:type="pct"/>
          </w:tcPr>
          <w:p w:rsidR="00A52482" w:rsidRPr="00C343A7" w:rsidRDefault="00A52482" w:rsidP="00FF01E9">
            <w:r w:rsidRPr="00C343A7">
              <w:t>Исходно</w:t>
            </w:r>
          </w:p>
        </w:tc>
        <w:tc>
          <w:tcPr>
            <w:tcW w:w="748" w:type="pct"/>
          </w:tcPr>
          <w:p w:rsidR="00A52482" w:rsidRPr="00C343A7" w:rsidRDefault="00A52482" w:rsidP="00FF01E9">
            <w:r w:rsidRPr="00C343A7">
              <w:t>150,3</w:t>
            </w:r>
            <w:r w:rsidRPr="00C343A7">
              <w:sym w:font="Symbol" w:char="F0B1"/>
            </w:r>
            <w:r w:rsidRPr="00C343A7">
              <w:t>15,1</w:t>
            </w:r>
          </w:p>
        </w:tc>
        <w:tc>
          <w:tcPr>
            <w:tcW w:w="748" w:type="pct"/>
          </w:tcPr>
          <w:p w:rsidR="00A52482" w:rsidRPr="00C343A7" w:rsidRDefault="00A52482" w:rsidP="00FF01E9">
            <w:r w:rsidRPr="00C343A7">
              <w:t>230,1</w:t>
            </w:r>
            <w:r w:rsidRPr="00C343A7">
              <w:sym w:font="Symbol" w:char="F0B1"/>
            </w:r>
            <w:r w:rsidRPr="00C343A7">
              <w:t>15,3</w:t>
            </w:r>
          </w:p>
        </w:tc>
        <w:tc>
          <w:tcPr>
            <w:tcW w:w="749" w:type="pct"/>
          </w:tcPr>
          <w:p w:rsidR="00A52482" w:rsidRPr="00C343A7" w:rsidRDefault="00A52482" w:rsidP="00FF01E9">
            <w:r w:rsidRPr="00C343A7">
              <w:t>130,1</w:t>
            </w:r>
            <w:r w:rsidRPr="00C343A7">
              <w:sym w:font="Symbol" w:char="F0B1"/>
            </w:r>
            <w:r w:rsidRPr="00C343A7">
              <w:t>7,2</w:t>
            </w:r>
          </w:p>
        </w:tc>
        <w:tc>
          <w:tcPr>
            <w:tcW w:w="748" w:type="pct"/>
          </w:tcPr>
          <w:p w:rsidR="00A52482" w:rsidRPr="00C343A7" w:rsidRDefault="00A52482" w:rsidP="00FF01E9">
            <w:r w:rsidRPr="00C343A7">
              <w:t>250,4</w:t>
            </w:r>
            <w:r w:rsidRPr="00C343A7">
              <w:sym w:font="Symbol" w:char="F0B1"/>
            </w:r>
            <w:r w:rsidRPr="00C343A7">
              <w:t>13,1</w:t>
            </w:r>
          </w:p>
        </w:tc>
        <w:tc>
          <w:tcPr>
            <w:tcW w:w="748" w:type="pct"/>
          </w:tcPr>
          <w:p w:rsidR="00A52482" w:rsidRPr="00C343A7" w:rsidRDefault="00A52482" w:rsidP="00FF01E9">
            <w:r w:rsidRPr="00C343A7">
              <w:t>150,1</w:t>
            </w:r>
            <w:r w:rsidRPr="00C343A7">
              <w:sym w:font="Symbol" w:char="F0B1"/>
            </w:r>
            <w:r w:rsidRPr="00C343A7">
              <w:t>14,2</w:t>
            </w:r>
          </w:p>
        </w:tc>
        <w:tc>
          <w:tcPr>
            <w:tcW w:w="749" w:type="pct"/>
          </w:tcPr>
          <w:p w:rsidR="00A52482" w:rsidRPr="00C343A7" w:rsidRDefault="00A52482" w:rsidP="00FF01E9">
            <w:r w:rsidRPr="00C343A7">
              <w:t>240,2</w:t>
            </w:r>
            <w:r w:rsidRPr="00C343A7">
              <w:sym w:font="Symbol" w:char="F0B1"/>
            </w:r>
            <w:r w:rsidRPr="00C343A7">
              <w:t>10,7</w:t>
            </w:r>
          </w:p>
        </w:tc>
      </w:tr>
      <w:tr w:rsidR="00A52482" w:rsidRPr="00C343A7" w:rsidTr="00FF01E9">
        <w:tc>
          <w:tcPr>
            <w:tcW w:w="509" w:type="pct"/>
          </w:tcPr>
          <w:p w:rsidR="00A52482" w:rsidRPr="00C343A7" w:rsidRDefault="00A52482" w:rsidP="00FF01E9">
            <w:r w:rsidRPr="00C343A7">
              <w:t>6 мес.</w:t>
            </w:r>
          </w:p>
        </w:tc>
        <w:tc>
          <w:tcPr>
            <w:tcW w:w="748" w:type="pct"/>
          </w:tcPr>
          <w:p w:rsidR="00A52482" w:rsidRPr="00C343A7" w:rsidRDefault="00A52482" w:rsidP="00FF01E9">
            <w:r w:rsidRPr="00C343A7">
              <w:t>127,4</w:t>
            </w:r>
            <w:r w:rsidRPr="00C343A7">
              <w:sym w:font="Symbol" w:char="F0B1"/>
            </w:r>
            <w:r w:rsidRPr="00C343A7">
              <w:t>12,4</w:t>
            </w:r>
          </w:p>
        </w:tc>
        <w:tc>
          <w:tcPr>
            <w:tcW w:w="748" w:type="pct"/>
          </w:tcPr>
          <w:p w:rsidR="00A52482" w:rsidRPr="00C343A7" w:rsidRDefault="00A52482" w:rsidP="00FF01E9">
            <w:r w:rsidRPr="00C343A7">
              <w:t>190,0</w:t>
            </w:r>
            <w:r w:rsidRPr="00C343A7">
              <w:sym w:font="Symbol" w:char="F0B1"/>
            </w:r>
            <w:r w:rsidRPr="00C343A7">
              <w:t>8,1</w:t>
            </w:r>
          </w:p>
        </w:tc>
        <w:tc>
          <w:tcPr>
            <w:tcW w:w="749" w:type="pct"/>
          </w:tcPr>
          <w:p w:rsidR="00A52482" w:rsidRPr="00C343A7" w:rsidRDefault="00A52482" w:rsidP="00FF01E9">
            <w:r w:rsidRPr="00C343A7">
              <w:t>85</w:t>
            </w:r>
            <w:r w:rsidRPr="00C343A7">
              <w:sym w:font="Symbol" w:char="F0B1"/>
            </w:r>
            <w:r w:rsidRPr="00C343A7">
              <w:t>11,7</w:t>
            </w:r>
          </w:p>
        </w:tc>
        <w:tc>
          <w:tcPr>
            <w:tcW w:w="748" w:type="pct"/>
          </w:tcPr>
          <w:p w:rsidR="00A52482" w:rsidRPr="00C343A7" w:rsidRDefault="00A52482" w:rsidP="00FF01E9">
            <w:r w:rsidRPr="00C343A7">
              <w:t>145</w:t>
            </w:r>
            <w:r w:rsidRPr="00C343A7">
              <w:sym w:font="Symbol" w:char="F0B1"/>
            </w:r>
            <w:r w:rsidRPr="00C343A7">
              <w:t>7,2</w:t>
            </w:r>
          </w:p>
        </w:tc>
        <w:tc>
          <w:tcPr>
            <w:tcW w:w="748" w:type="pct"/>
          </w:tcPr>
          <w:p w:rsidR="00A52482" w:rsidRPr="00C343A7" w:rsidRDefault="00A52482" w:rsidP="00FF01E9">
            <w:r w:rsidRPr="00C343A7">
              <w:t>112,5</w:t>
            </w:r>
            <w:r w:rsidRPr="00C343A7">
              <w:sym w:font="Symbol" w:char="F0B1"/>
            </w:r>
            <w:r w:rsidRPr="00C343A7">
              <w:t>17,2</w:t>
            </w:r>
          </w:p>
        </w:tc>
        <w:tc>
          <w:tcPr>
            <w:tcW w:w="749" w:type="pct"/>
          </w:tcPr>
          <w:p w:rsidR="00A52482" w:rsidRPr="00C343A7" w:rsidRDefault="00A52482" w:rsidP="00FF01E9">
            <w:r w:rsidRPr="00C343A7">
              <w:t>135,4</w:t>
            </w:r>
            <w:r w:rsidRPr="00C343A7">
              <w:sym w:font="Symbol" w:char="F0B1"/>
            </w:r>
            <w:r w:rsidRPr="00C343A7">
              <w:t>10,7</w:t>
            </w:r>
          </w:p>
        </w:tc>
      </w:tr>
      <w:tr w:rsidR="00A52482" w:rsidRPr="00C343A7" w:rsidTr="00FF01E9">
        <w:tc>
          <w:tcPr>
            <w:tcW w:w="509" w:type="pct"/>
          </w:tcPr>
          <w:p w:rsidR="00A52482" w:rsidRPr="00C343A7" w:rsidRDefault="00A52482" w:rsidP="00FF01E9">
            <w:r w:rsidRPr="00C343A7">
              <w:t>12 мес.</w:t>
            </w:r>
          </w:p>
        </w:tc>
        <w:tc>
          <w:tcPr>
            <w:tcW w:w="748" w:type="pct"/>
          </w:tcPr>
          <w:p w:rsidR="00A52482" w:rsidRPr="00C343A7" w:rsidRDefault="00A52482" w:rsidP="00FF01E9">
            <w:r w:rsidRPr="00C343A7">
              <w:t>91,3</w:t>
            </w:r>
            <w:r w:rsidRPr="00C343A7">
              <w:sym w:font="Symbol" w:char="F0B1"/>
            </w:r>
            <w:r w:rsidRPr="00C343A7">
              <w:t>10,3</w:t>
            </w:r>
          </w:p>
        </w:tc>
        <w:tc>
          <w:tcPr>
            <w:tcW w:w="748" w:type="pct"/>
          </w:tcPr>
          <w:p w:rsidR="00A52482" w:rsidRPr="00C343A7" w:rsidRDefault="00A52482" w:rsidP="00FF01E9">
            <w:r w:rsidRPr="00C343A7">
              <w:t>130,2</w:t>
            </w:r>
            <w:r w:rsidRPr="00C343A7">
              <w:sym w:font="Symbol" w:char="F0B1"/>
            </w:r>
            <w:r w:rsidRPr="00C343A7">
              <w:t>14,1</w:t>
            </w:r>
          </w:p>
        </w:tc>
        <w:tc>
          <w:tcPr>
            <w:tcW w:w="749" w:type="pct"/>
          </w:tcPr>
          <w:p w:rsidR="00A52482" w:rsidRPr="00C343A7" w:rsidRDefault="00A52482" w:rsidP="00FF01E9">
            <w:r w:rsidRPr="00C343A7">
              <w:t>60,7</w:t>
            </w:r>
            <w:r w:rsidRPr="00C343A7">
              <w:sym w:font="Symbol" w:char="F0B1"/>
            </w:r>
            <w:r w:rsidRPr="00C343A7">
              <w:t>8,2</w:t>
            </w:r>
          </w:p>
        </w:tc>
        <w:tc>
          <w:tcPr>
            <w:tcW w:w="748" w:type="pct"/>
          </w:tcPr>
          <w:p w:rsidR="00A52482" w:rsidRPr="00C343A7" w:rsidRDefault="00A52482" w:rsidP="00FF01E9">
            <w:r w:rsidRPr="00C343A7">
              <w:t>94,1</w:t>
            </w:r>
            <w:r w:rsidRPr="00C343A7">
              <w:sym w:font="Symbol" w:char="F0B1"/>
            </w:r>
            <w:r w:rsidRPr="00C343A7">
              <w:t>10,1</w:t>
            </w:r>
          </w:p>
        </w:tc>
        <w:tc>
          <w:tcPr>
            <w:tcW w:w="748" w:type="pct"/>
          </w:tcPr>
          <w:p w:rsidR="00A52482" w:rsidRPr="00C343A7" w:rsidRDefault="00A52482" w:rsidP="00FF01E9">
            <w:r w:rsidRPr="00C343A7">
              <w:t>70,9</w:t>
            </w:r>
            <w:r w:rsidRPr="00C343A7">
              <w:sym w:font="Symbol" w:char="F0B1"/>
            </w:r>
            <w:r w:rsidRPr="00C343A7">
              <w:t>12,9</w:t>
            </w:r>
          </w:p>
        </w:tc>
        <w:tc>
          <w:tcPr>
            <w:tcW w:w="749" w:type="pct"/>
          </w:tcPr>
          <w:p w:rsidR="00A52482" w:rsidRPr="00C343A7" w:rsidRDefault="00A52482" w:rsidP="00FF01E9">
            <w:r w:rsidRPr="00C343A7">
              <w:t>87,3</w:t>
            </w:r>
            <w:r w:rsidRPr="00C343A7">
              <w:sym w:font="Symbol" w:char="F0B1"/>
            </w:r>
            <w:r w:rsidRPr="00C343A7">
              <w:t>13,5</w:t>
            </w:r>
          </w:p>
        </w:tc>
      </w:tr>
      <w:tr w:rsidR="00A52482" w:rsidRPr="00C343A7" w:rsidTr="00FF01E9">
        <w:tc>
          <w:tcPr>
            <w:tcW w:w="509" w:type="pct"/>
          </w:tcPr>
          <w:p w:rsidR="00A52482" w:rsidRPr="00C343A7" w:rsidRDefault="00A52482" w:rsidP="00FF01E9">
            <w:r w:rsidRPr="00C343A7">
              <w:sym w:font="Symbol" w:char="F044"/>
            </w:r>
            <w:r w:rsidRPr="00C343A7">
              <w:t xml:space="preserve"> %</w:t>
            </w:r>
          </w:p>
        </w:tc>
        <w:tc>
          <w:tcPr>
            <w:tcW w:w="748" w:type="pct"/>
          </w:tcPr>
          <w:p w:rsidR="00A52482" w:rsidRPr="00C343A7" w:rsidRDefault="00A52482" w:rsidP="00FF01E9">
            <w:r w:rsidRPr="00C343A7">
              <w:t>-38</w:t>
            </w:r>
            <w:r w:rsidRPr="00C343A7">
              <w:sym w:font="Symbol" w:char="F0B1"/>
            </w:r>
            <w:r w:rsidRPr="00C343A7">
              <w:t>3,1</w:t>
            </w:r>
          </w:p>
        </w:tc>
        <w:tc>
          <w:tcPr>
            <w:tcW w:w="748" w:type="pct"/>
          </w:tcPr>
          <w:p w:rsidR="00A52482" w:rsidRPr="00C343A7" w:rsidRDefault="00A52482" w:rsidP="00FF01E9">
            <w:r w:rsidRPr="00C343A7">
              <w:t>-60</w:t>
            </w:r>
            <w:r w:rsidRPr="00C343A7">
              <w:sym w:font="Symbol" w:char="F0B1"/>
            </w:r>
            <w:r w:rsidRPr="00C343A7">
              <w:t>1,5</w:t>
            </w:r>
          </w:p>
        </w:tc>
        <w:tc>
          <w:tcPr>
            <w:tcW w:w="749" w:type="pct"/>
          </w:tcPr>
          <w:p w:rsidR="00A52482" w:rsidRPr="00C343A7" w:rsidRDefault="00A52482" w:rsidP="00FF01E9">
            <w:r w:rsidRPr="00C343A7">
              <w:t>-50</w:t>
            </w:r>
            <w:r w:rsidRPr="00C343A7">
              <w:sym w:font="Symbol" w:char="F0B1"/>
            </w:r>
            <w:r w:rsidRPr="00C343A7">
              <w:t>3,0</w:t>
            </w:r>
          </w:p>
        </w:tc>
        <w:tc>
          <w:tcPr>
            <w:tcW w:w="748" w:type="pct"/>
          </w:tcPr>
          <w:p w:rsidR="00A52482" w:rsidRPr="00C343A7" w:rsidRDefault="00A52482" w:rsidP="00FF01E9">
            <w:r w:rsidRPr="00C343A7">
              <w:t>-61</w:t>
            </w:r>
            <w:r w:rsidRPr="00C343A7">
              <w:sym w:font="Symbol" w:char="F0B1"/>
            </w:r>
            <w:r w:rsidRPr="00C343A7">
              <w:t>2,5</w:t>
            </w:r>
          </w:p>
        </w:tc>
        <w:tc>
          <w:tcPr>
            <w:tcW w:w="748" w:type="pct"/>
          </w:tcPr>
          <w:p w:rsidR="00A52482" w:rsidRPr="00C343A7" w:rsidRDefault="00A52482" w:rsidP="00FF01E9">
            <w:r w:rsidRPr="00C343A7">
              <w:t>-52</w:t>
            </w:r>
            <w:r w:rsidRPr="00C343A7">
              <w:sym w:font="Symbol" w:char="F0B1"/>
            </w:r>
            <w:r w:rsidRPr="00C343A7">
              <w:t>2,5</w:t>
            </w:r>
          </w:p>
        </w:tc>
        <w:tc>
          <w:tcPr>
            <w:tcW w:w="749" w:type="pct"/>
          </w:tcPr>
          <w:p w:rsidR="00A52482" w:rsidRPr="00C343A7" w:rsidRDefault="00A52482" w:rsidP="00FF01E9">
            <w:r w:rsidRPr="00C343A7">
              <w:t>-62</w:t>
            </w:r>
            <w:r w:rsidRPr="00C343A7">
              <w:sym w:font="Symbol" w:char="F0B1"/>
            </w:r>
            <w:r w:rsidRPr="00C343A7">
              <w:t>3,1</w:t>
            </w:r>
          </w:p>
        </w:tc>
      </w:tr>
    </w:tbl>
    <w:p w:rsidR="00A52482" w:rsidRPr="00C343A7" w:rsidRDefault="00A52482" w:rsidP="00A52482">
      <w:pPr>
        <w:spacing w:before="120"/>
        <w:ind w:firstLine="567"/>
        <w:jc w:val="both"/>
      </w:pPr>
    </w:p>
    <w:p w:rsidR="00A52482" w:rsidRDefault="00A52482" w:rsidP="00A52482">
      <w:pPr>
        <w:spacing w:before="120"/>
        <w:ind w:firstLine="567"/>
        <w:jc w:val="both"/>
      </w:pPr>
      <w:r w:rsidRPr="00C343A7">
        <w:t xml:space="preserve">В зависимости от исходной скорости клубочковой фильтрации больных также разделили на две подгруппы </w:t>
      </w:r>
      <w:r w:rsidRPr="00C343A7">
        <w:sym w:font="Symbol" w:char="F0A3"/>
      </w:r>
      <w:r w:rsidRPr="00C343A7">
        <w:t xml:space="preserve"> 50 и &gt; 50 мл/мин. Положительную динамику наблюдали в обеих подгруппах, однако скорость прироста клубочковой фильтрации была достоверна выше у больных с более низким значением этого показателя (табл. 3).</w:t>
      </w:r>
    </w:p>
    <w:p w:rsidR="00A52482" w:rsidRPr="00C343A7" w:rsidRDefault="00A52482" w:rsidP="00A52482">
      <w:pPr>
        <w:spacing w:before="120"/>
        <w:ind w:firstLine="567"/>
        <w:jc w:val="both"/>
      </w:pPr>
      <w:r w:rsidRPr="00C343A7">
        <w:t>Таблица 3</w:t>
      </w:r>
    </w:p>
    <w:p w:rsidR="00A52482" w:rsidRDefault="00A52482" w:rsidP="00A52482">
      <w:pPr>
        <w:spacing w:before="120"/>
        <w:ind w:firstLine="567"/>
        <w:jc w:val="both"/>
      </w:pPr>
      <w:r w:rsidRPr="00C343A7">
        <w:t>Динамика скорости клубочковой фильтрации у больных</w:t>
      </w:r>
    </w:p>
    <w:p w:rsidR="00A52482" w:rsidRPr="00C343A7" w:rsidRDefault="00A52482" w:rsidP="00A52482">
      <w:pPr>
        <w:spacing w:before="120"/>
        <w:ind w:firstLine="567"/>
        <w:jc w:val="both"/>
      </w:pPr>
      <w:r w:rsidRPr="00C343A7">
        <w:t>с уровнем &lt; 50 и &gt; 50,</w:t>
      </w:r>
      <w:r>
        <w:t xml:space="preserve"> </w:t>
      </w:r>
      <w:r w:rsidRPr="00C343A7">
        <w:t>мл/мин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"/>
        <w:gridCol w:w="1325"/>
        <w:gridCol w:w="269"/>
        <w:gridCol w:w="1063"/>
        <w:gridCol w:w="270"/>
        <w:gridCol w:w="1060"/>
        <w:gridCol w:w="164"/>
        <w:gridCol w:w="108"/>
        <w:gridCol w:w="1060"/>
        <w:gridCol w:w="272"/>
        <w:gridCol w:w="1058"/>
        <w:gridCol w:w="221"/>
        <w:gridCol w:w="53"/>
        <w:gridCol w:w="1056"/>
        <w:gridCol w:w="276"/>
        <w:gridCol w:w="1056"/>
        <w:gridCol w:w="278"/>
      </w:tblGrid>
      <w:tr w:rsidR="00A52482" w:rsidRPr="00C343A7" w:rsidTr="00FF01E9">
        <w:trPr>
          <w:gridBefore w:val="1"/>
          <w:wBefore w:w="134" w:type="pct"/>
          <w:cantSplit/>
          <w:jc w:val="center"/>
        </w:trPr>
        <w:tc>
          <w:tcPr>
            <w:tcW w:w="808" w:type="pct"/>
            <w:gridSpan w:val="2"/>
            <w:vMerge w:val="restart"/>
            <w:vAlign w:val="center"/>
          </w:tcPr>
          <w:p w:rsidR="00A52482" w:rsidRPr="00C343A7" w:rsidRDefault="00A52482" w:rsidP="00FF01E9">
            <w:r w:rsidRPr="00C343A7">
              <w:t>Группа</w:t>
            </w:r>
          </w:p>
        </w:tc>
        <w:tc>
          <w:tcPr>
            <w:tcW w:w="1297" w:type="pct"/>
            <w:gridSpan w:val="4"/>
          </w:tcPr>
          <w:p w:rsidR="00A52482" w:rsidRPr="00C343A7" w:rsidRDefault="00A52482" w:rsidP="00FF01E9">
            <w:r w:rsidRPr="00C343A7">
              <w:t>I (n=12)</w:t>
            </w:r>
          </w:p>
        </w:tc>
        <w:tc>
          <w:tcPr>
            <w:tcW w:w="1380" w:type="pct"/>
            <w:gridSpan w:val="5"/>
          </w:tcPr>
          <w:p w:rsidR="00A52482" w:rsidRPr="00C343A7" w:rsidRDefault="00A52482" w:rsidP="00FF01E9">
            <w:r w:rsidRPr="00C343A7">
              <w:t>II (n=10)</w:t>
            </w:r>
          </w:p>
        </w:tc>
        <w:tc>
          <w:tcPr>
            <w:tcW w:w="1380" w:type="pct"/>
            <w:gridSpan w:val="5"/>
          </w:tcPr>
          <w:p w:rsidR="00A52482" w:rsidRPr="00C343A7" w:rsidRDefault="00A52482" w:rsidP="00FF01E9">
            <w:r w:rsidRPr="00C343A7">
              <w:t>III (n=12)</w:t>
            </w:r>
          </w:p>
        </w:tc>
      </w:tr>
      <w:tr w:rsidR="00A52482" w:rsidRPr="00C343A7" w:rsidTr="00FF01E9">
        <w:trPr>
          <w:gridBefore w:val="1"/>
          <w:wBefore w:w="134" w:type="pct"/>
          <w:cantSplit/>
          <w:jc w:val="center"/>
        </w:trPr>
        <w:tc>
          <w:tcPr>
            <w:tcW w:w="808" w:type="pct"/>
            <w:gridSpan w:val="2"/>
            <w:vMerge/>
          </w:tcPr>
          <w:p w:rsidR="00A52482" w:rsidRPr="00C343A7" w:rsidRDefault="00A52482" w:rsidP="00FF01E9"/>
        </w:tc>
        <w:tc>
          <w:tcPr>
            <w:tcW w:w="676" w:type="pct"/>
            <w:gridSpan w:val="2"/>
          </w:tcPr>
          <w:p w:rsidR="00A52482" w:rsidRPr="00C343A7" w:rsidRDefault="00A52482" w:rsidP="00FF01E9">
            <w:r w:rsidRPr="00C343A7">
              <w:t>&lt; 50</w:t>
            </w:r>
          </w:p>
        </w:tc>
        <w:tc>
          <w:tcPr>
            <w:tcW w:w="676" w:type="pct"/>
            <w:gridSpan w:val="3"/>
          </w:tcPr>
          <w:p w:rsidR="00A52482" w:rsidRPr="00C343A7" w:rsidRDefault="00A52482" w:rsidP="00FF01E9">
            <w:r w:rsidRPr="00C343A7">
              <w:t>&gt; 50</w:t>
            </w:r>
          </w:p>
        </w:tc>
        <w:tc>
          <w:tcPr>
            <w:tcW w:w="676" w:type="pct"/>
            <w:gridSpan w:val="2"/>
          </w:tcPr>
          <w:p w:rsidR="00A52482" w:rsidRPr="00C343A7" w:rsidRDefault="00A52482" w:rsidP="00FF01E9">
            <w:r w:rsidRPr="00C343A7">
              <w:t>&lt; 50</w:t>
            </w:r>
          </w:p>
        </w:tc>
        <w:tc>
          <w:tcPr>
            <w:tcW w:w="676" w:type="pct"/>
            <w:gridSpan w:val="3"/>
          </w:tcPr>
          <w:p w:rsidR="00A52482" w:rsidRPr="00C343A7" w:rsidRDefault="00A52482" w:rsidP="00FF01E9">
            <w:r w:rsidRPr="00C343A7">
              <w:t>&gt; 50</w:t>
            </w:r>
          </w:p>
        </w:tc>
        <w:tc>
          <w:tcPr>
            <w:tcW w:w="676" w:type="pct"/>
            <w:gridSpan w:val="2"/>
          </w:tcPr>
          <w:p w:rsidR="00A52482" w:rsidRPr="00C343A7" w:rsidRDefault="00A52482" w:rsidP="00FF01E9">
            <w:r w:rsidRPr="00C343A7">
              <w:t>&lt; 50</w:t>
            </w:r>
          </w:p>
        </w:tc>
        <w:tc>
          <w:tcPr>
            <w:tcW w:w="676" w:type="pct"/>
            <w:gridSpan w:val="2"/>
          </w:tcPr>
          <w:p w:rsidR="00A52482" w:rsidRPr="00C343A7" w:rsidRDefault="00A52482" w:rsidP="00FF01E9">
            <w:r w:rsidRPr="00C343A7">
              <w:t>&gt; 50</w:t>
            </w:r>
          </w:p>
        </w:tc>
      </w:tr>
      <w:tr w:rsidR="00A52482" w:rsidRPr="00C343A7" w:rsidTr="00FF01E9">
        <w:trPr>
          <w:gridAfter w:val="1"/>
          <w:wAfter w:w="139" w:type="pct"/>
          <w:jc w:val="center"/>
        </w:trPr>
        <w:tc>
          <w:tcPr>
            <w:tcW w:w="806" w:type="pct"/>
            <w:gridSpan w:val="2"/>
          </w:tcPr>
          <w:p w:rsidR="00A52482" w:rsidRPr="00C343A7" w:rsidRDefault="00A52482" w:rsidP="00FF01E9">
            <w:r w:rsidRPr="00C343A7">
              <w:t>Исходно</w:t>
            </w:r>
          </w:p>
        </w:tc>
        <w:tc>
          <w:tcPr>
            <w:tcW w:w="675" w:type="pct"/>
            <w:gridSpan w:val="2"/>
          </w:tcPr>
          <w:p w:rsidR="00A52482" w:rsidRPr="00C343A7" w:rsidRDefault="00A52482" w:rsidP="00FF01E9">
            <w:r w:rsidRPr="00C343A7">
              <w:t>42,4</w:t>
            </w:r>
            <w:r w:rsidRPr="00C343A7">
              <w:sym w:font="Symbol" w:char="F0B1"/>
            </w:r>
            <w:r w:rsidRPr="00C343A7">
              <w:t>8,3</w:t>
            </w:r>
          </w:p>
        </w:tc>
        <w:tc>
          <w:tcPr>
            <w:tcW w:w="675" w:type="pct"/>
            <w:gridSpan w:val="2"/>
          </w:tcPr>
          <w:p w:rsidR="00A52482" w:rsidRPr="00C343A7" w:rsidRDefault="00A52482" w:rsidP="00FF01E9">
            <w:r w:rsidRPr="00C343A7">
              <w:t>62,1</w:t>
            </w:r>
            <w:r w:rsidRPr="00C343A7">
              <w:sym w:font="Symbol" w:char="F0B1"/>
            </w:r>
            <w:r w:rsidRPr="00C343A7">
              <w:t>10,1</w:t>
            </w:r>
          </w:p>
        </w:tc>
        <w:tc>
          <w:tcPr>
            <w:tcW w:w="676" w:type="pct"/>
            <w:gridSpan w:val="3"/>
          </w:tcPr>
          <w:p w:rsidR="00A52482" w:rsidRPr="00C343A7" w:rsidRDefault="00A52482" w:rsidP="00FF01E9">
            <w:r w:rsidRPr="00C343A7">
              <w:t>40,1</w:t>
            </w:r>
            <w:r w:rsidRPr="00C343A7">
              <w:sym w:font="Symbol" w:char="F0B1"/>
            </w:r>
            <w:r w:rsidRPr="00C343A7">
              <w:t>11,2</w:t>
            </w:r>
          </w:p>
        </w:tc>
        <w:tc>
          <w:tcPr>
            <w:tcW w:w="675" w:type="pct"/>
            <w:gridSpan w:val="2"/>
          </w:tcPr>
          <w:p w:rsidR="00A52482" w:rsidRPr="00C343A7" w:rsidRDefault="00A52482" w:rsidP="00FF01E9">
            <w:r w:rsidRPr="00C343A7">
              <w:t>50,1</w:t>
            </w:r>
            <w:r w:rsidRPr="00C343A7">
              <w:sym w:font="Symbol" w:char="F0B1"/>
            </w:r>
            <w:r w:rsidRPr="00C343A7">
              <w:t>12,1</w:t>
            </w:r>
          </w:p>
        </w:tc>
        <w:tc>
          <w:tcPr>
            <w:tcW w:w="675" w:type="pct"/>
            <w:gridSpan w:val="3"/>
          </w:tcPr>
          <w:p w:rsidR="00A52482" w:rsidRPr="00C343A7" w:rsidRDefault="00A52482" w:rsidP="00FF01E9">
            <w:r w:rsidRPr="00C343A7">
              <w:t>42,3</w:t>
            </w:r>
            <w:r w:rsidRPr="00C343A7">
              <w:sym w:font="Symbol" w:char="F0B1"/>
            </w:r>
            <w:r w:rsidRPr="00C343A7">
              <w:t>10,4</w:t>
            </w:r>
          </w:p>
        </w:tc>
        <w:tc>
          <w:tcPr>
            <w:tcW w:w="676" w:type="pct"/>
            <w:gridSpan w:val="2"/>
          </w:tcPr>
          <w:p w:rsidR="00A52482" w:rsidRPr="00C343A7" w:rsidRDefault="00A52482" w:rsidP="00FF01E9">
            <w:r w:rsidRPr="00C343A7">
              <w:t>56,8</w:t>
            </w:r>
            <w:r w:rsidRPr="00C343A7">
              <w:sym w:font="Symbol" w:char="F0B1"/>
            </w:r>
            <w:r w:rsidRPr="00C343A7">
              <w:t>14,4</w:t>
            </w:r>
          </w:p>
        </w:tc>
      </w:tr>
      <w:tr w:rsidR="00A52482" w:rsidRPr="00C343A7" w:rsidTr="00FF01E9">
        <w:trPr>
          <w:gridAfter w:val="1"/>
          <w:wAfter w:w="139" w:type="pct"/>
          <w:jc w:val="center"/>
        </w:trPr>
        <w:tc>
          <w:tcPr>
            <w:tcW w:w="806" w:type="pct"/>
            <w:gridSpan w:val="2"/>
          </w:tcPr>
          <w:p w:rsidR="00A52482" w:rsidRPr="00C343A7" w:rsidRDefault="00A52482" w:rsidP="00FF01E9">
            <w:r w:rsidRPr="00C343A7">
              <w:t>12 мес.</w:t>
            </w:r>
          </w:p>
        </w:tc>
        <w:tc>
          <w:tcPr>
            <w:tcW w:w="675" w:type="pct"/>
            <w:gridSpan w:val="2"/>
          </w:tcPr>
          <w:p w:rsidR="00A52482" w:rsidRPr="00C343A7" w:rsidRDefault="00A52482" w:rsidP="00FF01E9">
            <w:r w:rsidRPr="00C343A7">
              <w:t>80,2</w:t>
            </w:r>
            <w:r w:rsidRPr="00C343A7">
              <w:sym w:font="Symbol" w:char="F0B1"/>
            </w:r>
            <w:r w:rsidRPr="00C343A7">
              <w:t>11,7</w:t>
            </w:r>
          </w:p>
        </w:tc>
        <w:tc>
          <w:tcPr>
            <w:tcW w:w="675" w:type="pct"/>
            <w:gridSpan w:val="2"/>
          </w:tcPr>
          <w:p w:rsidR="00A52482" w:rsidRPr="00C343A7" w:rsidRDefault="00A52482" w:rsidP="00FF01E9">
            <w:r w:rsidRPr="00C343A7">
              <w:t>72,4</w:t>
            </w:r>
            <w:r w:rsidRPr="00C343A7">
              <w:sym w:font="Symbol" w:char="F0B1"/>
            </w:r>
            <w:r w:rsidRPr="00C343A7">
              <w:t>8,2</w:t>
            </w:r>
          </w:p>
        </w:tc>
        <w:tc>
          <w:tcPr>
            <w:tcW w:w="676" w:type="pct"/>
            <w:gridSpan w:val="3"/>
          </w:tcPr>
          <w:p w:rsidR="00A52482" w:rsidRPr="00C343A7" w:rsidRDefault="00A52482" w:rsidP="00FF01E9">
            <w:r w:rsidRPr="00C343A7">
              <w:t>80,2</w:t>
            </w:r>
            <w:r w:rsidRPr="00C343A7">
              <w:sym w:font="Symbol" w:char="F0B1"/>
            </w:r>
            <w:r w:rsidRPr="00C343A7">
              <w:t>12,1</w:t>
            </w:r>
          </w:p>
        </w:tc>
        <w:tc>
          <w:tcPr>
            <w:tcW w:w="675" w:type="pct"/>
            <w:gridSpan w:val="2"/>
          </w:tcPr>
          <w:p w:rsidR="00A52482" w:rsidRPr="00C343A7" w:rsidRDefault="00A52482" w:rsidP="00FF01E9">
            <w:r w:rsidRPr="00C343A7">
              <w:t>82,1</w:t>
            </w:r>
            <w:r w:rsidRPr="00C343A7">
              <w:sym w:font="Symbol" w:char="F0B1"/>
            </w:r>
            <w:r w:rsidRPr="00C343A7">
              <w:t>10,1</w:t>
            </w:r>
          </w:p>
        </w:tc>
        <w:tc>
          <w:tcPr>
            <w:tcW w:w="675" w:type="pct"/>
            <w:gridSpan w:val="3"/>
          </w:tcPr>
          <w:p w:rsidR="00A52482" w:rsidRPr="00C343A7" w:rsidRDefault="00A52482" w:rsidP="00FF01E9">
            <w:r w:rsidRPr="00C343A7">
              <w:t>86,2</w:t>
            </w:r>
            <w:r w:rsidRPr="00C343A7">
              <w:sym w:font="Symbol" w:char="F0B1"/>
            </w:r>
            <w:r w:rsidRPr="00C343A7">
              <w:t>10,2</w:t>
            </w:r>
          </w:p>
        </w:tc>
        <w:tc>
          <w:tcPr>
            <w:tcW w:w="676" w:type="pct"/>
            <w:gridSpan w:val="2"/>
          </w:tcPr>
          <w:p w:rsidR="00A52482" w:rsidRPr="00C343A7" w:rsidRDefault="00A52482" w:rsidP="00FF01E9">
            <w:r w:rsidRPr="00C343A7">
              <w:t>89,6</w:t>
            </w:r>
            <w:r w:rsidRPr="00C343A7">
              <w:sym w:font="Symbol" w:char="F0B1"/>
            </w:r>
            <w:r w:rsidRPr="00C343A7">
              <w:t>10,5</w:t>
            </w:r>
          </w:p>
        </w:tc>
      </w:tr>
      <w:tr w:rsidR="00A52482" w:rsidRPr="00C343A7" w:rsidTr="00FF01E9">
        <w:trPr>
          <w:gridAfter w:val="1"/>
          <w:wAfter w:w="139" w:type="pct"/>
          <w:jc w:val="center"/>
        </w:trPr>
        <w:tc>
          <w:tcPr>
            <w:tcW w:w="806" w:type="pct"/>
            <w:gridSpan w:val="2"/>
          </w:tcPr>
          <w:p w:rsidR="00A52482" w:rsidRPr="00C343A7" w:rsidRDefault="00A52482" w:rsidP="00FF01E9">
            <w:r w:rsidRPr="00C343A7">
              <w:sym w:font="Symbol" w:char="F044"/>
            </w:r>
            <w:r w:rsidRPr="00C343A7">
              <w:t xml:space="preserve"> %</w:t>
            </w:r>
          </w:p>
        </w:tc>
        <w:tc>
          <w:tcPr>
            <w:tcW w:w="675" w:type="pct"/>
            <w:gridSpan w:val="2"/>
          </w:tcPr>
          <w:p w:rsidR="00A52482" w:rsidRPr="00C343A7" w:rsidRDefault="00A52482" w:rsidP="00FF01E9">
            <w:r w:rsidRPr="00C343A7">
              <w:t>90,2</w:t>
            </w:r>
            <w:r w:rsidRPr="00C343A7">
              <w:sym w:font="Symbol" w:char="F0B1"/>
            </w:r>
            <w:r w:rsidRPr="00C343A7">
              <w:t>1,1</w:t>
            </w:r>
          </w:p>
        </w:tc>
        <w:tc>
          <w:tcPr>
            <w:tcW w:w="675" w:type="pct"/>
            <w:gridSpan w:val="2"/>
          </w:tcPr>
          <w:p w:rsidR="00A52482" w:rsidRPr="00C343A7" w:rsidRDefault="00A52482" w:rsidP="00FF01E9">
            <w:r w:rsidRPr="00C343A7">
              <w:t>48,5</w:t>
            </w:r>
            <w:r w:rsidRPr="00C343A7">
              <w:sym w:font="Symbol" w:char="F0B1"/>
            </w:r>
            <w:r w:rsidRPr="00C343A7">
              <w:t>7,2</w:t>
            </w:r>
          </w:p>
        </w:tc>
        <w:tc>
          <w:tcPr>
            <w:tcW w:w="676" w:type="pct"/>
            <w:gridSpan w:val="3"/>
          </w:tcPr>
          <w:p w:rsidR="00A52482" w:rsidRPr="00C343A7" w:rsidRDefault="00A52482" w:rsidP="00FF01E9">
            <w:r w:rsidRPr="00C343A7">
              <w:t>95,1</w:t>
            </w:r>
            <w:r w:rsidRPr="00C343A7">
              <w:sym w:font="Symbol" w:char="F0B1"/>
            </w:r>
            <w:r w:rsidRPr="00C343A7">
              <w:t>3,1</w:t>
            </w:r>
          </w:p>
        </w:tc>
        <w:tc>
          <w:tcPr>
            <w:tcW w:w="675" w:type="pct"/>
            <w:gridSpan w:val="2"/>
          </w:tcPr>
          <w:p w:rsidR="00A52482" w:rsidRPr="00C343A7" w:rsidRDefault="00A52482" w:rsidP="00FF01E9">
            <w:r w:rsidRPr="00C343A7">
              <w:t>50,1</w:t>
            </w:r>
            <w:r w:rsidRPr="00C343A7">
              <w:sym w:font="Symbol" w:char="F0B1"/>
            </w:r>
            <w:r w:rsidRPr="00C343A7">
              <w:t>3,2</w:t>
            </w:r>
          </w:p>
        </w:tc>
        <w:tc>
          <w:tcPr>
            <w:tcW w:w="675" w:type="pct"/>
            <w:gridSpan w:val="3"/>
          </w:tcPr>
          <w:p w:rsidR="00A52482" w:rsidRPr="00C343A7" w:rsidRDefault="00A52482" w:rsidP="00FF01E9">
            <w:r w:rsidRPr="00C343A7">
              <w:t>96,1</w:t>
            </w:r>
            <w:r w:rsidRPr="00C343A7">
              <w:sym w:font="Symbol" w:char="F0B1"/>
            </w:r>
            <w:r w:rsidRPr="00C343A7">
              <w:t>2,1</w:t>
            </w:r>
          </w:p>
        </w:tc>
        <w:tc>
          <w:tcPr>
            <w:tcW w:w="676" w:type="pct"/>
            <w:gridSpan w:val="2"/>
          </w:tcPr>
          <w:p w:rsidR="00A52482" w:rsidRPr="00C343A7" w:rsidRDefault="00A52482" w:rsidP="00FF01E9">
            <w:r w:rsidRPr="00C343A7">
              <w:t>56,1</w:t>
            </w:r>
            <w:r w:rsidRPr="00C343A7">
              <w:sym w:font="Symbol" w:char="F0B1"/>
            </w:r>
            <w:r w:rsidRPr="00C343A7">
              <w:t>3,5</w:t>
            </w:r>
          </w:p>
        </w:tc>
      </w:tr>
      <w:tr w:rsidR="00A52482" w:rsidRPr="00C343A7" w:rsidTr="00FF01E9">
        <w:trPr>
          <w:gridAfter w:val="1"/>
          <w:wAfter w:w="139" w:type="pct"/>
          <w:jc w:val="center"/>
        </w:trPr>
        <w:tc>
          <w:tcPr>
            <w:tcW w:w="806" w:type="pct"/>
            <w:gridSpan w:val="2"/>
          </w:tcPr>
          <w:p w:rsidR="00A52482" w:rsidRPr="00C343A7" w:rsidRDefault="00A52482" w:rsidP="00FF01E9">
            <w:r w:rsidRPr="00C343A7">
              <w:t>Скорость прироста мл/мин./мес.</w:t>
            </w:r>
          </w:p>
        </w:tc>
        <w:tc>
          <w:tcPr>
            <w:tcW w:w="675" w:type="pct"/>
            <w:gridSpan w:val="2"/>
          </w:tcPr>
          <w:p w:rsidR="00A52482" w:rsidRPr="00C343A7" w:rsidRDefault="00A52482" w:rsidP="00FF01E9"/>
          <w:p w:rsidR="00A52482" w:rsidRPr="00C343A7" w:rsidRDefault="00A52482" w:rsidP="00FF01E9">
            <w:r w:rsidRPr="00C343A7">
              <w:t>3,1</w:t>
            </w:r>
            <w:r w:rsidRPr="00C343A7">
              <w:sym w:font="Symbol" w:char="F0B1"/>
            </w:r>
            <w:r w:rsidRPr="00C343A7">
              <w:t>0,6</w:t>
            </w:r>
          </w:p>
          <w:p w:rsidR="00A52482" w:rsidRPr="00C343A7" w:rsidRDefault="00A52482" w:rsidP="00FF01E9"/>
        </w:tc>
        <w:tc>
          <w:tcPr>
            <w:tcW w:w="675" w:type="pct"/>
            <w:gridSpan w:val="2"/>
          </w:tcPr>
          <w:p w:rsidR="00A52482" w:rsidRPr="00C343A7" w:rsidRDefault="00A52482" w:rsidP="00FF01E9"/>
          <w:p w:rsidR="00A52482" w:rsidRPr="00C343A7" w:rsidRDefault="00A52482" w:rsidP="00FF01E9">
            <w:r w:rsidRPr="00C343A7">
              <w:t>1,1</w:t>
            </w:r>
            <w:r w:rsidRPr="00C343A7">
              <w:sym w:font="Symbol" w:char="F0B1"/>
            </w:r>
            <w:r w:rsidRPr="00C343A7">
              <w:t>0,5</w:t>
            </w:r>
          </w:p>
        </w:tc>
        <w:tc>
          <w:tcPr>
            <w:tcW w:w="676" w:type="pct"/>
            <w:gridSpan w:val="3"/>
          </w:tcPr>
          <w:p w:rsidR="00A52482" w:rsidRPr="00C343A7" w:rsidRDefault="00A52482" w:rsidP="00FF01E9"/>
          <w:p w:rsidR="00A52482" w:rsidRPr="00C343A7" w:rsidRDefault="00A52482" w:rsidP="00FF01E9">
            <w:r w:rsidRPr="00C343A7">
              <w:t>3,3</w:t>
            </w:r>
            <w:r w:rsidRPr="00C343A7">
              <w:sym w:font="Symbol" w:char="F0B1"/>
            </w:r>
            <w:r w:rsidRPr="00C343A7">
              <w:t>0,6</w:t>
            </w:r>
          </w:p>
        </w:tc>
        <w:tc>
          <w:tcPr>
            <w:tcW w:w="675" w:type="pct"/>
            <w:gridSpan w:val="2"/>
          </w:tcPr>
          <w:p w:rsidR="00A52482" w:rsidRPr="00C343A7" w:rsidRDefault="00A52482" w:rsidP="00FF01E9"/>
          <w:p w:rsidR="00A52482" w:rsidRPr="00C343A7" w:rsidRDefault="00A52482" w:rsidP="00FF01E9">
            <w:r w:rsidRPr="00C343A7">
              <w:t>2,5</w:t>
            </w:r>
            <w:r w:rsidRPr="00C343A7">
              <w:sym w:font="Symbol" w:char="F0B1"/>
            </w:r>
            <w:r w:rsidRPr="00C343A7">
              <w:t>0,2</w:t>
            </w:r>
          </w:p>
        </w:tc>
        <w:tc>
          <w:tcPr>
            <w:tcW w:w="675" w:type="pct"/>
            <w:gridSpan w:val="3"/>
          </w:tcPr>
          <w:p w:rsidR="00A52482" w:rsidRPr="00C343A7" w:rsidRDefault="00A52482" w:rsidP="00FF01E9"/>
          <w:p w:rsidR="00A52482" w:rsidRPr="00C343A7" w:rsidRDefault="00A52482" w:rsidP="00FF01E9">
            <w:r w:rsidRPr="00C343A7">
              <w:t>3,5</w:t>
            </w:r>
            <w:r w:rsidRPr="00C343A7">
              <w:sym w:font="Symbol" w:char="F0B1"/>
            </w:r>
            <w:r w:rsidRPr="00C343A7">
              <w:t>0,5</w:t>
            </w:r>
          </w:p>
        </w:tc>
        <w:tc>
          <w:tcPr>
            <w:tcW w:w="676" w:type="pct"/>
            <w:gridSpan w:val="2"/>
          </w:tcPr>
          <w:p w:rsidR="00A52482" w:rsidRPr="00C343A7" w:rsidRDefault="00A52482" w:rsidP="00FF01E9"/>
          <w:p w:rsidR="00A52482" w:rsidRPr="00C343A7" w:rsidRDefault="00A52482" w:rsidP="00FF01E9">
            <w:r w:rsidRPr="00C343A7">
              <w:t>2,6</w:t>
            </w:r>
            <w:r w:rsidRPr="00C343A7">
              <w:sym w:font="Symbol" w:char="F0B1"/>
            </w:r>
            <w:r w:rsidRPr="00C343A7">
              <w:t>0,4</w:t>
            </w:r>
          </w:p>
        </w:tc>
      </w:tr>
    </w:tbl>
    <w:p w:rsidR="00A52482" w:rsidRPr="00C343A7" w:rsidRDefault="00A52482" w:rsidP="00A52482">
      <w:pPr>
        <w:spacing w:before="120"/>
        <w:ind w:firstLine="567"/>
        <w:jc w:val="both"/>
      </w:pPr>
    </w:p>
    <w:p w:rsidR="00A52482" w:rsidRPr="00C343A7" w:rsidRDefault="00A52482" w:rsidP="00A52482">
      <w:pPr>
        <w:spacing w:before="120"/>
        <w:ind w:firstLine="567"/>
        <w:jc w:val="both"/>
      </w:pPr>
      <w:r w:rsidRPr="00C343A7">
        <w:t>На фоне комбинированной терапии (II и III группы) темп прироста скорости клубочковой фильтрации был выше, чем на фоне монотерапии эналаприлом. Достоверных различий темпа прироста скорости клубочковой фильтрации в группах больных, получавших комбинированную терапию, не выявили, однако имелась тенденция, указывающая на большую эффективность комбинации трех препаратов (эналаприл + лозартан + спиронолактон).</w:t>
      </w:r>
    </w:p>
    <w:p w:rsidR="00A52482" w:rsidRPr="00C343A7" w:rsidRDefault="00A52482" w:rsidP="00A52482">
      <w:pPr>
        <w:spacing w:before="120"/>
        <w:ind w:firstLine="567"/>
        <w:jc w:val="both"/>
      </w:pPr>
      <w:r w:rsidRPr="00C343A7">
        <w:t xml:space="preserve">По данным суточного мониторирования, исходные значения АД в трех группах составляли 152,2 </w:t>
      </w:r>
      <w:r w:rsidRPr="00C343A7">
        <w:sym w:font="Symbol" w:char="F0B1"/>
      </w:r>
      <w:r w:rsidRPr="00C343A7">
        <w:t xml:space="preserve"> 11,4 / 91,3 </w:t>
      </w:r>
      <w:r w:rsidRPr="00C343A7">
        <w:sym w:font="Symbol" w:char="F0B1"/>
      </w:r>
      <w:r w:rsidRPr="00C343A7">
        <w:t xml:space="preserve"> 5,1; 155,1 </w:t>
      </w:r>
      <w:r w:rsidRPr="00C343A7">
        <w:sym w:font="Symbol" w:char="F0B1"/>
      </w:r>
      <w:r w:rsidRPr="00C343A7">
        <w:t xml:space="preserve"> 10,4 / / 92,2</w:t>
      </w:r>
      <w:r w:rsidRPr="00C343A7">
        <w:sym w:font="Symbol" w:char="F0B1"/>
      </w:r>
      <w:r w:rsidRPr="00C343A7">
        <w:t>3,5 и 153,8</w:t>
      </w:r>
      <w:r w:rsidRPr="00C343A7">
        <w:sym w:font="Symbol" w:char="F0B1"/>
      </w:r>
      <w:r w:rsidRPr="00C343A7">
        <w:t>9,8 / 92,5</w:t>
      </w:r>
      <w:r w:rsidRPr="00C343A7">
        <w:sym w:font="Symbol" w:char="F0B1"/>
      </w:r>
      <w:r w:rsidRPr="00C343A7">
        <w:t>2,5 мм рт.ст. соответственно.</w:t>
      </w:r>
    </w:p>
    <w:p w:rsidR="00A52482" w:rsidRPr="00C343A7" w:rsidRDefault="00A52482" w:rsidP="00A52482">
      <w:pPr>
        <w:spacing w:before="120"/>
        <w:ind w:firstLine="567"/>
        <w:jc w:val="both"/>
      </w:pPr>
      <w:r w:rsidRPr="00C343A7">
        <w:t>После 2-недельной коррекции терапии АД составило в среднем 150,4</w:t>
      </w:r>
      <w:r w:rsidRPr="00C343A7">
        <w:sym w:font="Symbol" w:char="F0B1"/>
      </w:r>
      <w:r w:rsidRPr="00C343A7">
        <w:t>9,2 / 87,5</w:t>
      </w:r>
      <w:r w:rsidRPr="00C343A7">
        <w:sym w:font="Symbol" w:char="F0B1"/>
      </w:r>
      <w:r w:rsidRPr="00C343A7">
        <w:t>4,2; 151,1</w:t>
      </w:r>
      <w:r w:rsidRPr="00C343A7">
        <w:sym w:font="Symbol" w:char="F0B1"/>
      </w:r>
      <w:r w:rsidRPr="00C343A7">
        <w:t>3,7 / 87,3</w:t>
      </w:r>
      <w:r w:rsidRPr="00C343A7">
        <w:sym w:font="Symbol" w:char="F0B1"/>
      </w:r>
      <w:r w:rsidRPr="00C343A7">
        <w:t>3,5 и 151,1</w:t>
      </w:r>
      <w:r w:rsidRPr="00C343A7">
        <w:sym w:font="Symbol" w:char="F0B1"/>
      </w:r>
      <w:r w:rsidRPr="00C343A7">
        <w:t>5,2 / 86,2</w:t>
      </w:r>
      <w:r w:rsidRPr="00C343A7">
        <w:sym w:font="Symbol" w:char="F0B1"/>
      </w:r>
      <w:r w:rsidRPr="00C343A7">
        <w:t>3,2 мм рт.ст. В дальнейшем за период наблюдения при повторном мониторировании через 6 и 12 месяцев среднесуточное АД у пациентов всех групп АД не превышало 130/90 мм рт.ст.</w:t>
      </w:r>
    </w:p>
    <w:p w:rsidR="00A52482" w:rsidRPr="00C343A7" w:rsidRDefault="00A52482" w:rsidP="00A52482">
      <w:pPr>
        <w:spacing w:before="120"/>
        <w:ind w:firstLine="567"/>
        <w:jc w:val="both"/>
      </w:pPr>
      <w:r w:rsidRPr="00C343A7">
        <w:t>Обсуждение результатов. В настоящее время имеется довольно полное представление о РААС, основная роль в которой принадлежит ангиотензину II. Свое физиологическое действие оказывали через мембранные рецепторы – АТ1 и АТ2 и путем активации альдостерона. Стимуляция АТ1-рецепторов опосредует сосудистые и эндокринные эффекты ангиотензина II, которые имеют ведущее значение в прогрессировании почечной недостаточности. Стимуляция АТ2-рецепторов приводит к снижению общего периферического сосудистого сопротивления, уменьшению гипертрофии, мезангиума и предупреждению снижения скорости клубочковой фильтрации.</w:t>
      </w:r>
    </w:p>
    <w:p w:rsidR="00A52482" w:rsidRPr="00C343A7" w:rsidRDefault="00A52482" w:rsidP="00A52482">
      <w:pPr>
        <w:spacing w:before="120"/>
        <w:ind w:firstLine="567"/>
        <w:jc w:val="both"/>
      </w:pPr>
      <w:r w:rsidRPr="00C343A7">
        <w:t>Сегодня невозможно установить, как и когда у конкретного больного меняется активность составных компонентов РААС, что вынуждает обсуждать целесообразность одновременного применения ингибиторов АПФ и блокаторов ангиотензиновых рецепторов. При одновременной блокаде АПФ и АТ1-рецепторов сочетаются эффекты накопления брадикинина, ангиотензина (1-7), однако в крови остается высоким уровень альдостерона.</w:t>
      </w:r>
    </w:p>
    <w:p w:rsidR="00A52482" w:rsidRPr="00C343A7" w:rsidRDefault="00A52482" w:rsidP="00A52482">
      <w:pPr>
        <w:spacing w:before="120"/>
        <w:ind w:firstLine="567"/>
        <w:jc w:val="both"/>
      </w:pPr>
      <w:r w:rsidRPr="00C343A7">
        <w:t>Альдостерон – один из мощных минералокортикостероидов, обеспечивающий постоянство объема жидкости в организме путем регуляции обмена калия и натрия. Кроме того, альдостерон активирует фибробласты и увеличивает продукцию коллагена, и, следовательно, способствует увеличению массы мезангиума, утолщение стенки сосудов клубочков и, как следствие, нефросклероз и сморщивание почки. В связи с этим понятна необходимость блокады продукции альдостерона, особенно у больных сахарным диабетом, у которых наблюдается повышенная активность РААС.</w:t>
      </w:r>
    </w:p>
    <w:p w:rsidR="00A52482" w:rsidRDefault="00A52482" w:rsidP="00A52482">
      <w:pPr>
        <w:spacing w:before="120"/>
        <w:ind w:firstLine="567"/>
        <w:jc w:val="both"/>
      </w:pPr>
      <w:r w:rsidRPr="00C343A7">
        <w:t>В трех группах сравнения мы выявили уменьшение микроальбуминурии как в период снижения, так и на фоне стабильного АД. В обеих группах больных, получавших комбинированную терапию, степень снижения экскреции альбуминов с мочой была достоверно выше, чем в группе больных с монотерапией.</w:t>
      </w:r>
    </w:p>
    <w:p w:rsidR="00A52482" w:rsidRDefault="00A52482" w:rsidP="00A52482">
      <w:pPr>
        <w:spacing w:before="120"/>
        <w:ind w:firstLine="567"/>
        <w:jc w:val="both"/>
      </w:pPr>
      <w:r w:rsidRPr="00C343A7">
        <w:t>Полученные данные свидетельствуют о выраженном нефропротективном эффекте в группе с комбинацией трех препаратов и эналаприла с лозартаном и наличии тесной корреляции между снижением микроальбуминурии и динамикой скорости клубочковой фильтрации.</w:t>
      </w:r>
    </w:p>
    <w:p w:rsidR="00A52482" w:rsidRPr="00C343A7" w:rsidRDefault="00A52482" w:rsidP="00A52482">
      <w:pPr>
        <w:spacing w:before="120"/>
        <w:jc w:val="center"/>
        <w:rPr>
          <w:b/>
          <w:sz w:val="28"/>
          <w:lang w:val="en-US"/>
        </w:rPr>
      </w:pPr>
      <w:r w:rsidRPr="00C343A7">
        <w:rPr>
          <w:b/>
          <w:sz w:val="28"/>
        </w:rPr>
        <w:t>Список</w:t>
      </w:r>
      <w:r w:rsidRPr="00C343A7">
        <w:rPr>
          <w:b/>
          <w:sz w:val="28"/>
          <w:lang w:val="en-US"/>
        </w:rPr>
        <w:t xml:space="preserve"> </w:t>
      </w:r>
      <w:r w:rsidRPr="00C343A7">
        <w:rPr>
          <w:b/>
          <w:sz w:val="28"/>
        </w:rPr>
        <w:t>литературы</w:t>
      </w:r>
    </w:p>
    <w:p w:rsidR="00A52482" w:rsidRPr="00C343A7" w:rsidRDefault="00A52482" w:rsidP="00A52482">
      <w:pPr>
        <w:spacing w:before="120"/>
        <w:ind w:firstLine="567"/>
        <w:jc w:val="both"/>
      </w:pPr>
      <w:r w:rsidRPr="00C343A7">
        <w:rPr>
          <w:lang w:val="en-US"/>
        </w:rPr>
        <w:t xml:space="preserve">Viberti G. Renal complications in diabets mellitus. </w:t>
      </w:r>
      <w:r w:rsidRPr="00C343A7">
        <w:t>Jn: Current therapy in nephrology and hypertension. Ed.R.Classock.1987, 109-115.</w:t>
      </w:r>
    </w:p>
    <w:p w:rsidR="00A52482" w:rsidRPr="00C343A7" w:rsidRDefault="00A52482" w:rsidP="00A52482">
      <w:pPr>
        <w:spacing w:before="120"/>
        <w:ind w:firstLine="567"/>
        <w:jc w:val="both"/>
      </w:pPr>
      <w:r w:rsidRPr="00C343A7">
        <w:t>Тареева И.Е. Нефрология //Медицина. 1995. 322-379.</w:t>
      </w:r>
    </w:p>
    <w:p w:rsidR="00A52482" w:rsidRPr="00C343A7" w:rsidRDefault="00A52482" w:rsidP="00A52482">
      <w:pPr>
        <w:spacing w:before="120"/>
        <w:ind w:firstLine="567"/>
        <w:jc w:val="both"/>
      </w:pPr>
      <w:r w:rsidRPr="00C343A7">
        <w:t>Шейман Д. Патофизиология почки. Москва, Бином, 1997.</w:t>
      </w:r>
    </w:p>
    <w:p w:rsidR="00A52482" w:rsidRDefault="00A52482" w:rsidP="00A52482">
      <w:pPr>
        <w:spacing w:before="120"/>
        <w:ind w:firstLine="567"/>
        <w:jc w:val="both"/>
        <w:rPr>
          <w:lang w:val="en-US"/>
        </w:rPr>
      </w:pPr>
      <w:r w:rsidRPr="00C343A7">
        <w:rPr>
          <w:lang w:val="en-US"/>
        </w:rPr>
        <w:t>Mc Murray M. Pharmacological treatment of heart failure // Jn: Controviersies in the management of heart failure. Churchill Livingston, 1997.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2482"/>
    <w:rsid w:val="00811DD4"/>
    <w:rsid w:val="0083682A"/>
    <w:rsid w:val="00944A5E"/>
    <w:rsid w:val="00A52482"/>
    <w:rsid w:val="00C343A7"/>
    <w:rsid w:val="00FF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9EFF3F-4736-4056-A2D8-33E64315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48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52482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A52482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1539</Words>
  <Characters>8778</Characters>
  <Application>Microsoft Office Word</Application>
  <DocSecurity>0</DocSecurity>
  <Lines>73</Lines>
  <Paragraphs>20</Paragraphs>
  <ScaleCrop>false</ScaleCrop>
  <Company>Home</Company>
  <LinksUpToDate>false</LinksUpToDate>
  <CharactersWithSpaces>10297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Оптимизация лечения больных сахарным диабетом с артериальной гипертензией, микроальбуминурией</dc:title>
  <dc:subject/>
  <dc:creator>User</dc:creator>
  <cp:keywords/>
  <dc:description/>
  <cp:lastModifiedBy>admin</cp:lastModifiedBy>
  <cp:revision>2</cp:revision>
  <dcterms:created xsi:type="dcterms:W3CDTF">2014-02-20T02:10:00Z</dcterms:created>
  <dcterms:modified xsi:type="dcterms:W3CDTF">2014-02-20T02:10:00Z</dcterms:modified>
</cp:coreProperties>
</file>