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271" w:rsidRPr="00E9694A" w:rsidRDefault="00B71271" w:rsidP="00B71271">
      <w:pPr>
        <w:spacing w:before="120"/>
        <w:jc w:val="center"/>
        <w:rPr>
          <w:b/>
          <w:bCs/>
          <w:sz w:val="32"/>
          <w:szCs w:val="32"/>
        </w:rPr>
      </w:pPr>
      <w:r w:rsidRPr="00E9694A">
        <w:rPr>
          <w:b/>
          <w:bCs/>
          <w:sz w:val="32"/>
          <w:szCs w:val="32"/>
        </w:rPr>
        <w:t>Особенности политического процесса в Великобритании: традиции и современность</w:t>
      </w:r>
    </w:p>
    <w:p w:rsidR="00B71271" w:rsidRPr="00E9694A" w:rsidRDefault="00B71271" w:rsidP="00B71271">
      <w:pPr>
        <w:spacing w:before="120"/>
        <w:jc w:val="center"/>
        <w:rPr>
          <w:sz w:val="28"/>
          <w:szCs w:val="28"/>
        </w:rPr>
      </w:pPr>
      <w:r w:rsidRPr="00E9694A">
        <w:rPr>
          <w:sz w:val="28"/>
          <w:szCs w:val="28"/>
        </w:rPr>
        <w:t>Анкудинова Е.В.</w:t>
      </w:r>
    </w:p>
    <w:p w:rsidR="00B71271" w:rsidRPr="00FD5458" w:rsidRDefault="00B71271" w:rsidP="00B71271">
      <w:pPr>
        <w:spacing w:before="120"/>
        <w:ind w:firstLine="567"/>
        <w:jc w:val="both"/>
      </w:pPr>
      <w:r w:rsidRPr="00FD5458">
        <w:t>Ход политического процесса в современной Великобритании представляет собой интересный объект для изучения.</w:t>
      </w:r>
    </w:p>
    <w:p w:rsidR="00B71271" w:rsidRPr="00FD5458" w:rsidRDefault="00B71271" w:rsidP="00B71271">
      <w:pPr>
        <w:spacing w:before="120"/>
        <w:ind w:firstLine="567"/>
        <w:jc w:val="both"/>
      </w:pPr>
      <w:r w:rsidRPr="00FD5458">
        <w:t>В последние десятилетия особенно напряженно идет затяжное и мучительное приспособление складывавшихся веками структур общества, хозяйства, социально-политических норм к меняющимся условиям мирового развития, поиски нового места Англии в мире.</w:t>
      </w:r>
    </w:p>
    <w:p w:rsidR="00B71271" w:rsidRPr="00FD5458" w:rsidRDefault="00B71271" w:rsidP="00B71271">
      <w:pPr>
        <w:spacing w:before="120"/>
        <w:ind w:firstLine="567"/>
        <w:jc w:val="both"/>
      </w:pPr>
      <w:r w:rsidRPr="00FD5458">
        <w:t>Соединенное Королевство Великобритании и Северной Ирландии – конституционная монархия. За время своего десятивекового существования (с кратким перерывом между 1649 и 1660 годами, когда страна была объявлена республикой) монархия постепенно утратила свою власть. Как и любой другой монарх в условиях конституционной монархии, Елизавета II “царствует, но не управляет”. Правом британского монарха остается право “давать советы, одобрять и предупреждать”. Королева входит в состав “тайного совета” – консультативного органа, в котором заседают принц-консорт герцог Эдинбургский, наследник престола принц Уэльский, члены правительства, лидеры оппозиции и другие высшие чиновники. Вся верховная законодательная власть принадлежит двухпалатному парламенту. За королевой сохранено право созывать и распускать парламент, назначать премьер-министра, подписывать договоры и объявлять войну. Королева, по представлению правительства, назначает высших военачальников, судей, а в качестве главы англиканской церкви – епископов. Только королева может пожаловать дворянский титул.</w:t>
      </w:r>
    </w:p>
    <w:p w:rsidR="00B71271" w:rsidRPr="00FD5458" w:rsidRDefault="00B71271" w:rsidP="00B71271">
      <w:pPr>
        <w:spacing w:before="120"/>
        <w:ind w:firstLine="567"/>
        <w:jc w:val="both"/>
      </w:pPr>
      <w:r w:rsidRPr="00FD5458">
        <w:t>У королевы особые отношения с парламентом. Любой законопроект – билль – становится законом не только после его принятия обеими палатами парламента, но и после получения королевского одобрения, дающегося со времен [c.119] Нормандского завоевания в древней формулировке: “La Reyne ainsi veult” – “Так хочет королева”.</w:t>
      </w:r>
    </w:p>
    <w:p w:rsidR="00B71271" w:rsidRPr="00FD5458" w:rsidRDefault="00B71271" w:rsidP="00B71271">
      <w:pPr>
        <w:spacing w:before="120"/>
        <w:ind w:firstLine="567"/>
        <w:jc w:val="both"/>
      </w:pPr>
      <w:r w:rsidRPr="00FD5458">
        <w:t>Парламент состоит из палаты лордов и палаты общин. Палата общин играет ведущую роль в деятельности парламента. Она избирается на срок не более пяти лет и насчитывает 650 членов – по одному представителю от каждого из 650 избирательных округов, на которые разбита территория страны. Палата лордов представляет собой до некоторой степени анахронизм. В ее состав входят высшие чины церкви – 26 духовных пэров (архиепископы Кентерберийский и Йоркский и 24 епископа), 9 лордов высшего апелляционного суда, представители аристократии – 818 наследных пэров (5 принцев крови, 27 герцогов, 38 маркизов, 203 графа, 138 виконтов и остальные – бароны). Кроме того, в палату лордов входят 300 пожизненных пэров, получивших звание за заслуги перед родиной (промышленники, банкиры, ученые, артисты, писатели, дипломаты и т.д.). Парламентскими актами 1911 и 1949 гг. права палаты лордов были существенно ограничены. Основной ее функцией является рассмотрение и внесение поправок в проекты, представленные палатой общин. С 1949 г. за палатой лордов сохранилось лишь так называемое право отлагательного вето – право краткосрочной отсрочки принятого палатой общин законопроекта, в то время как раньше палата лордов могла вообще отвергать любые законопроекты, одобренные нижней палатой парламента.</w:t>
      </w:r>
    </w:p>
    <w:p w:rsidR="00B71271" w:rsidRPr="00FD5458" w:rsidRDefault="00B71271" w:rsidP="00B71271">
      <w:pPr>
        <w:spacing w:before="120"/>
        <w:ind w:firstLine="567"/>
        <w:jc w:val="both"/>
      </w:pPr>
      <w:r w:rsidRPr="00FD5458">
        <w:t>Высшая исполнительная власть в стране возложена на кабинет министров, который и осуществляет разработку национальной политики во всех сферах.</w:t>
      </w:r>
    </w:p>
    <w:p w:rsidR="00B71271" w:rsidRPr="00FD5458" w:rsidRDefault="00B71271" w:rsidP="00B71271">
      <w:pPr>
        <w:spacing w:before="120"/>
        <w:ind w:firstLine="567"/>
        <w:jc w:val="both"/>
      </w:pPr>
      <w:r w:rsidRPr="00FD5458">
        <w:t>Кабинет во всех политических системах означает корпус советников главе государства, которые так же возглавляют различные государственные департаменты. Кабинет стал важной составляющей правительства везде, где законодательная власть была облечена в парламент, но его формы различаются некоторыми признаками в отдельных странах. Двумя наиболее яркими примерами являются США и Соединенное Королевство.</w:t>
      </w:r>
    </w:p>
    <w:p w:rsidR="00B71271" w:rsidRPr="00FD5458" w:rsidRDefault="00B71271" w:rsidP="00B71271">
      <w:pPr>
        <w:spacing w:before="120"/>
        <w:ind w:firstLine="567"/>
        <w:jc w:val="both"/>
      </w:pPr>
      <w:r w:rsidRPr="00FD5458">
        <w:t>Сама система кабинета в правительстве берет свое начало в Великобритании. Кабинет образовался из Тайного Совета в XVII – начале XVIII века, когда эта структура слишком разрослась и таким образом утратила возможность рассматривать дела с максимальной пользой. Английские монархи Чарльз II (правил с 1660 по 1685 г.) и Анна (1702–1714 гг.) начали постоянно консультироваться исключительно с верхушкой Тайного Совета вместо того, чтобы принимать решения перед всем громоздким собранием. Во время правления Анны еженедельные, а иногда и ежедневные собрания этого “избранного комитета” ведущих министров стали своеобразной организацией исполнительной власти правительства, а власть Тайного Совета была безжалостно упразднена. После Георга I, который не говорил по-английски и прекратил посещать собрания комитета (1717 г.), процесс принятия решений внутри органа, который теперь уже именовался “кабинетом” лег на плечи премьер-министра или главного министра, как его тогда еще называли. Эта должность сформировалась во время занятия поста министра сэром Робертом Вэлпоулом, находившимся в должности достаточно длительный срок с 1721 по 1742 г. и была окончательно утверждена сэром Уильямом Питтом, который позже стал занимать эту должность.</w:t>
      </w:r>
    </w:p>
    <w:p w:rsidR="00B71271" w:rsidRPr="00FD5458" w:rsidRDefault="00B71271" w:rsidP="00B71271">
      <w:pPr>
        <w:spacing w:before="120"/>
        <w:ind w:firstLine="567"/>
        <w:jc w:val="both"/>
      </w:pPr>
      <w:r w:rsidRPr="00FD5458">
        <w:t>Утверждение Билля Реформ в 1832 г. прояснило два основных принципа кабинета правительства: первое – кабинет должен быть сформирован из членов [c.120] партии или политической фракции, которая поддерживает большинство в Палате Общин; второе – члены кабинета полностью ответственны перед Палатой Общин за свои действия в правительстве. С этих пор не один кабинет не мог функционировать, не заручившись поддержкой большинства в Палате Общин. Единство в политической партии являло собой наилучший путь организовать поддержку кабинета внутри Палаты Общин; таким образом, партийная система Великобритании развивалась наряду с правительственным кабинетом.</w:t>
      </w:r>
    </w:p>
    <w:p w:rsidR="00B71271" w:rsidRPr="00FD5458" w:rsidRDefault="00B71271" w:rsidP="00B71271">
      <w:pPr>
        <w:spacing w:before="120"/>
        <w:ind w:firstLine="567"/>
        <w:jc w:val="both"/>
      </w:pPr>
      <w:r w:rsidRPr="00FD5458">
        <w:t>В сегодняшней Великобритании кабинет состоит из 15 или 25 членов, министров, назначенных премьер-министром, который, в свою очередь, был назначен монархом на основании его способности распоряжаться большинством голосов в Палате Общин. Однако, прежде уполномоченный составлять кабинет, монарх ныне ограничен в праве приглашать главу партии, имеющей большинство в Парламенте формировать правительство. Премьер-министр должен сформировать такой кабинет, который выносил бы на обсуждение и решал бы различные разногласия внутри своей партии (или внутри партийной коалиции). Все члены кабинета должны быть членами парламента, как и сам премьер-министр. Члены кабинета возглавляют основные правительственные отделы или министерства, такие как министерство внутренних дел, иностранных дел и Казначейство. Некоторые министры входят в состав кабинета благодаря своим знаниям юридических законов или умению вести дискуссию. Кабинет выполняет большую часть своей работы благодаря различным комитетам, каждый из которых возглавляется министром, а его функционирование координируется Секретариатом, который состоит из профессиональных гражданских служащих. Кабинет обычно собирается в официальной резиденции премьер-министра.</w:t>
      </w:r>
    </w:p>
    <w:p w:rsidR="00B71271" w:rsidRPr="00FD5458" w:rsidRDefault="00B71271" w:rsidP="00B71271">
      <w:pPr>
        <w:spacing w:before="120"/>
        <w:ind w:firstLine="567"/>
        <w:jc w:val="both"/>
      </w:pPr>
      <w:r w:rsidRPr="00FD5458">
        <w:t>Все министры кабинета несут ответственность за свои отделы, в свою очередь сам кабинет подотчетен парламенту. Члены кабинета могут не соглашаться друг с другом во время своих совещаний, но если они приняли окончательное решение, они обязаны его поддерживать, соблюдать политику кабинета. Потеря ноты доверия или провал законопроекта в Палате Общин может означать распад кабинета, соответственно, его роспуск и отставки его членов. Только в очень редких случаях министры берут на себя индивидуальную ответственность за проводимые политические инициативы, не одобренные коллегами в рамках кабинета. Примером является вынужденная отставка сэра Самьюэла Хоара в 1935 г., которая последовала в результате его предложения, касающегося “умиротворения” итальянского фашизма. Вопреки необходимости консенсуса и совместных действий внутри кабинета, право последнего слова остается за премьер-министром, как за главой своей организации.</w:t>
      </w:r>
    </w:p>
    <w:p w:rsidR="00B71271" w:rsidRPr="00FD5458" w:rsidRDefault="00B71271" w:rsidP="00B71271">
      <w:pPr>
        <w:spacing w:before="120"/>
        <w:ind w:firstLine="567"/>
        <w:jc w:val="both"/>
      </w:pPr>
      <w:r w:rsidRPr="00FD5458">
        <w:t>Конституция Соединенного Королевства – неписаная. Она не формализована, в отличие от конституций других стран, в каком-либо одном документе, а основана на многочисленных законах, принятых парламентом, на общем праве и обычаях.</w:t>
      </w:r>
    </w:p>
    <w:p w:rsidR="00B71271" w:rsidRPr="00FD5458" w:rsidRDefault="00B71271" w:rsidP="00B71271">
      <w:pPr>
        <w:spacing w:before="120"/>
        <w:ind w:firstLine="567"/>
        <w:jc w:val="both"/>
      </w:pPr>
      <w:r w:rsidRPr="00FD5458">
        <w:t>Итак, уже при первом приближении к изучению политического процесса Великобритании становится ясно, что в этом государстве удивительным образом переплетаются вековые традиции и новые веяния.</w:t>
      </w:r>
    </w:p>
    <w:p w:rsidR="00B71271" w:rsidRPr="00FD5458" w:rsidRDefault="00B71271" w:rsidP="00B71271">
      <w:pPr>
        <w:spacing w:before="120"/>
        <w:ind w:firstLine="567"/>
        <w:jc w:val="both"/>
      </w:pPr>
      <w:r w:rsidRPr="00FD5458">
        <w:t>С середины 1997 г. стратегической целью пришедшей к власти партии лейбористов становится создание единого государственно-политического [c.121] пространства, включая Ирландию, ослабление тенденций конфронтации со своим ближайшим регионально-национальным соседом.</w:t>
      </w:r>
    </w:p>
    <w:p w:rsidR="00B71271" w:rsidRPr="00FD5458" w:rsidRDefault="00B71271" w:rsidP="00B71271">
      <w:pPr>
        <w:spacing w:before="120"/>
        <w:ind w:firstLine="567"/>
        <w:jc w:val="both"/>
      </w:pPr>
      <w:r w:rsidRPr="00FD5458">
        <w:t xml:space="preserve">В последней трети XX века в центре политической борьбы в Великобритании оказалось отношение ведущих политических сил страны к поиску путей выхода из экономических и </w:t>
      </w:r>
      <w:bookmarkStart w:id="0" w:name="OCRUncertain002"/>
      <w:r w:rsidRPr="00FD5458">
        <w:t>социокультурных</w:t>
      </w:r>
      <w:bookmarkEnd w:id="0"/>
      <w:r w:rsidRPr="00FD5458">
        <w:t xml:space="preserve"> кризисных явлений в условиях глобализации, мировых интегр</w:t>
      </w:r>
      <w:bookmarkStart w:id="1" w:name="OCRUncertain003"/>
      <w:r w:rsidRPr="00FD5458">
        <w:t>а</w:t>
      </w:r>
      <w:bookmarkEnd w:id="1"/>
      <w:r w:rsidRPr="00FD5458">
        <w:t xml:space="preserve">ционных процессов. </w:t>
      </w:r>
      <w:bookmarkStart w:id="2" w:name="OCRUncertain004"/>
      <w:r w:rsidRPr="00FD5458">
        <w:t>Кейнсианство</w:t>
      </w:r>
      <w:bookmarkEnd w:id="2"/>
      <w:r w:rsidRPr="00FD5458">
        <w:t xml:space="preserve"> обнаружило свои слабости, из-под контроля вышел процесс взаимодействия между государс</w:t>
      </w:r>
      <w:bookmarkStart w:id="3" w:name="OCRUncertain005"/>
      <w:r w:rsidRPr="00FD5458">
        <w:t>т</w:t>
      </w:r>
      <w:bookmarkEnd w:id="3"/>
      <w:r w:rsidRPr="00FD5458">
        <w:t>вом и гражданским обществом. На фоне этого в рамках неолиберальной волны возникают различные интерпретации методов развития свободного рынка и пересмотра функций государства. Влияние либеральной мысли испытали на себе движения новых правых и нового лейборизма, которые являются интересными объектами для исследования.</w:t>
      </w:r>
    </w:p>
    <w:p w:rsidR="00B71271" w:rsidRPr="00FD5458" w:rsidRDefault="00B71271" w:rsidP="00B71271">
      <w:pPr>
        <w:spacing w:before="120"/>
        <w:ind w:firstLine="567"/>
        <w:jc w:val="both"/>
      </w:pPr>
      <w:r w:rsidRPr="00FD5458">
        <w:t>Правые силы стали энергично пропагандировать возрождение “либеральной Англии”, призывать к созданию условий для “спонтанного развития” общества. Представители правого крыла Консервативной партии возвращаются ко мн</w:t>
      </w:r>
      <w:bookmarkStart w:id="4" w:name="OCRUncertain007"/>
      <w:r w:rsidRPr="00FD5458">
        <w:t>о</w:t>
      </w:r>
      <w:bookmarkEnd w:id="4"/>
      <w:r w:rsidRPr="00FD5458">
        <w:t xml:space="preserve">гим классическим либеральным постулатам. Важен анализ факторов, объясняющих, почему эта партия стала активно проповедовать идеи свободного рынка и удерживала за собой эту роль сравнительно длительное время. Рост влияния концепций неолиберализма по-своему сказался и на позициях Лейбористской партии Великобритании </w:t>
      </w:r>
      <w:bookmarkStart w:id="5" w:name="OCRUncertain008"/>
      <w:r w:rsidRPr="00FD5458">
        <w:t>(ЛПВ).</w:t>
      </w:r>
      <w:bookmarkEnd w:id="5"/>
      <w:r w:rsidRPr="00FD5458">
        <w:t xml:space="preserve"> Ее программа с течением врем</w:t>
      </w:r>
      <w:bookmarkStart w:id="6" w:name="OCRUncertain009"/>
      <w:r w:rsidRPr="00FD5458">
        <w:t>е</w:t>
      </w:r>
      <w:bookmarkEnd w:id="6"/>
      <w:r w:rsidRPr="00FD5458">
        <w:t>ни все больше насыщалась современными либеральными идеями, совместимыми с социал-демократическими воззрениями. Возникают представления о “рыночном”, “либеральном” социализме. По мере того, как партия отказывалась от ряда устаревших элементов своей идеологии, она перенимала прогрессивные элементы из багажа либерально</w:t>
      </w:r>
      <w:bookmarkStart w:id="7" w:name="OCRUncertain010"/>
      <w:r w:rsidRPr="00FD5458">
        <w:t>й</w:t>
      </w:r>
      <w:bookmarkEnd w:id="7"/>
      <w:r w:rsidRPr="00FD5458">
        <w:t xml:space="preserve"> мысли. ЛПВ избавлялась от репутации партии корпоративных интересов и сверхвысоких налогов. В то же время новые тенденции в ее политике оказались под сильным влиянием концепций социальной справедливости, равенства возможностей, взаимной ответственности. К 1997 г., в условиях накалившегося политического противостояния с консерваторами, развенчанию подвергаются мифы о </w:t>
      </w:r>
      <w:bookmarkStart w:id="8" w:name="OCRUncertain011"/>
      <w:r w:rsidRPr="00FD5458">
        <w:t>“свободно-рыночном</w:t>
      </w:r>
      <w:bookmarkEnd w:id="8"/>
      <w:r w:rsidRPr="00FD5458">
        <w:t xml:space="preserve"> капитализме”.</w:t>
      </w:r>
    </w:p>
    <w:p w:rsidR="00B71271" w:rsidRPr="00FD5458" w:rsidRDefault="00B71271" w:rsidP="00B71271">
      <w:pPr>
        <w:spacing w:before="120"/>
        <w:ind w:firstLine="567"/>
        <w:jc w:val="both"/>
      </w:pPr>
      <w:r w:rsidRPr="00FD5458">
        <w:t>В этой связи по-новому встают вопросы о соотношении между современной консервативной, либеральной и социал-демокра</w:t>
      </w:r>
      <w:bookmarkStart w:id="9" w:name="OCRUncertain012"/>
      <w:r w:rsidRPr="00FD5458">
        <w:t>т</w:t>
      </w:r>
      <w:bookmarkEnd w:id="9"/>
      <w:r w:rsidRPr="00FD5458">
        <w:t xml:space="preserve">ической мыслью. Важно также рассмотреть процессы, сделавшие возможным приход лейбористов к власти в результате всеобщих выборов в 1997 г., и </w:t>
      </w:r>
      <w:bookmarkStart w:id="10" w:name="OCRUncertain013"/>
      <w:r w:rsidRPr="00FD5458">
        <w:t>определить,</w:t>
      </w:r>
      <w:bookmarkEnd w:id="10"/>
      <w:r w:rsidRPr="00FD5458">
        <w:t xml:space="preserve"> какие уроки из этого могут извлечь партии </w:t>
      </w:r>
      <w:bookmarkStart w:id="11" w:name="OCRUncertain014"/>
      <w:r w:rsidRPr="00FD5458">
        <w:t>левоцентристской</w:t>
      </w:r>
      <w:bookmarkEnd w:id="11"/>
      <w:r w:rsidRPr="00FD5458">
        <w:t xml:space="preserve"> ориентации разных стран.</w:t>
      </w:r>
    </w:p>
    <w:p w:rsidR="00B71271" w:rsidRPr="00FD5458" w:rsidRDefault="00B71271" w:rsidP="00B71271">
      <w:pPr>
        <w:spacing w:before="120"/>
        <w:ind w:firstLine="567"/>
        <w:jc w:val="both"/>
      </w:pPr>
      <w:r w:rsidRPr="00FD5458">
        <w:t xml:space="preserve">Феномену подъема неолиберальной волны в западной и отчасти российской политологической литературе было уделено существенное внимание. Однако, дальнейшего изучения требуют вопросы, как и почему в 1970-80е гг. получило широкое развитие неоконсервативное движение в Великобритании, каковы были его формы и идейная база. В данном контексте важен анализ тенденций, проявившихся в британском обществе в целом. </w:t>
      </w:r>
      <w:bookmarkStart w:id="12" w:name="OCRUncertain015"/>
      <w:r w:rsidRPr="00FD5458">
        <w:t>“Тэтчеризм</w:t>
      </w:r>
      <w:bookmarkEnd w:id="12"/>
      <w:r w:rsidRPr="00FD5458">
        <w:t xml:space="preserve">” как неоконсерватизм у власти, открыв с конца 1970х гг. новый этап в общественно-политической жизни страны, развивался на протяжении почти двух десятилетий; поражение консерваторов на всеобщих выборах в 1997 г. позволяет рассмотреть период правления </w:t>
      </w:r>
      <w:bookmarkStart w:id="13" w:name="OCRUncertain016"/>
      <w:r w:rsidRPr="00FD5458">
        <w:t>Тэтчер – Мейджора</w:t>
      </w:r>
      <w:bookmarkEnd w:id="13"/>
      <w:r w:rsidRPr="00FD5458">
        <w:t xml:space="preserve"> в </w:t>
      </w:r>
      <w:bookmarkStart w:id="14" w:name="OCRUncertain017"/>
      <w:r w:rsidRPr="00FD5458">
        <w:t>е</w:t>
      </w:r>
      <w:bookmarkEnd w:id="14"/>
      <w:r w:rsidRPr="00FD5458">
        <w:t xml:space="preserve">го целостности, выделить главные содержательные черты, моменты преемственности и отличия в их политике. [c.122] </w:t>
      </w:r>
    </w:p>
    <w:p w:rsidR="00B71271" w:rsidRPr="00FD5458" w:rsidRDefault="00B71271" w:rsidP="00B71271">
      <w:pPr>
        <w:spacing w:before="120"/>
        <w:ind w:firstLine="567"/>
        <w:jc w:val="both"/>
      </w:pPr>
      <w:r w:rsidRPr="00FD5458">
        <w:t xml:space="preserve">Под влиянием событий как национального, так и глобального масштаба, происходят глубокие изменения в Лейбористской партии. Испытав воздействие со стороны укрепившегося у власти </w:t>
      </w:r>
      <w:bookmarkStart w:id="15" w:name="OCRUncertain018"/>
      <w:r w:rsidRPr="00FD5458">
        <w:t>“тэтчеризма”,</w:t>
      </w:r>
      <w:bookmarkEnd w:id="15"/>
      <w:r w:rsidRPr="00FD5458">
        <w:t xml:space="preserve"> модернизировав свою политическую программу, она стала важным источником развития новых социал-реформаторских идей. Возникает движение “нового лейборизма”, лидеры которого критикуют вариант рыночной модели, навязанный стране </w:t>
      </w:r>
      <w:bookmarkStart w:id="16" w:name="OCRUncertain020"/>
      <w:r w:rsidRPr="00FD5458">
        <w:t>“тэтчеристами”,</w:t>
      </w:r>
      <w:bookmarkEnd w:id="16"/>
      <w:r w:rsidRPr="00FD5458">
        <w:t xml:space="preserve"> и претендуют на восприятие лучшего из идейного багажа социал-демократической и либеральной мысли. Важно исследовать этапы становления и приоритетные проблемы “</w:t>
      </w:r>
      <w:bookmarkStart w:id="17" w:name="OCRUncertain022"/>
      <w:r w:rsidRPr="00FD5458">
        <w:t>нового</w:t>
      </w:r>
      <w:bookmarkEnd w:id="17"/>
      <w:r w:rsidRPr="00FD5458">
        <w:t xml:space="preserve"> лейборизма”, изучить путь его идейных исканий, соотношение с другими общественно-политическими течениями. Необходимо провести сопоставительный анализ содержания и хара</w:t>
      </w:r>
      <w:bookmarkStart w:id="18" w:name="OCRUncertain023"/>
      <w:r w:rsidRPr="00FD5458">
        <w:t>к</w:t>
      </w:r>
      <w:bookmarkEnd w:id="18"/>
      <w:r w:rsidRPr="00FD5458">
        <w:t>тера современных политических процессов в Великобритании, в центре которых находилась политическая борьба между Консервативной и Лейбористской партиями.</w:t>
      </w:r>
    </w:p>
    <w:p w:rsidR="00B71271" w:rsidRPr="00FD5458" w:rsidRDefault="00B71271" w:rsidP="00B71271">
      <w:pPr>
        <w:spacing w:before="120"/>
        <w:ind w:firstLine="567"/>
        <w:jc w:val="both"/>
      </w:pPr>
      <w:r w:rsidRPr="00FD5458">
        <w:t>Противоречия политики современной Великобритании, изменение ее мировых позиций развиваются под решающим воздействием глобальных изменений. Эти изменения являются общими для развитых капиталистических стран. Вместе с тем они носят специфический характер, обусловленный всей новой и новейшей историей Великобритании.</w:t>
      </w:r>
    </w:p>
    <w:p w:rsidR="00B71271" w:rsidRPr="00FD5458" w:rsidRDefault="00B71271" w:rsidP="00B71271">
      <w:pPr>
        <w:spacing w:before="120"/>
        <w:ind w:firstLine="567"/>
        <w:jc w:val="both"/>
      </w:pPr>
      <w:r w:rsidRPr="00FD5458">
        <w:t xml:space="preserve">Словом, говоря о Соединенном Королевстве, мы раскрываем обширную тему для исследования, которая требует комплексного, тщательного подхода, как если бы она была еще не изучена. </w:t>
      </w:r>
    </w:p>
    <w:p w:rsidR="00E12572" w:rsidRDefault="00E12572">
      <w:bookmarkStart w:id="19" w:name="_GoBack"/>
      <w:bookmarkEnd w:id="19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1271"/>
    <w:rsid w:val="00051FB8"/>
    <w:rsid w:val="00095BA6"/>
    <w:rsid w:val="00210DB3"/>
    <w:rsid w:val="0031418A"/>
    <w:rsid w:val="00350B15"/>
    <w:rsid w:val="00377A3D"/>
    <w:rsid w:val="0052086C"/>
    <w:rsid w:val="005A2562"/>
    <w:rsid w:val="006A2ADC"/>
    <w:rsid w:val="00755964"/>
    <w:rsid w:val="008C19D7"/>
    <w:rsid w:val="00A44D32"/>
    <w:rsid w:val="00B71271"/>
    <w:rsid w:val="00D025C8"/>
    <w:rsid w:val="00E12572"/>
    <w:rsid w:val="00E871BB"/>
    <w:rsid w:val="00E9694A"/>
    <w:rsid w:val="00FD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BE9328-137A-438B-8A2D-7D360C4B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27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712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1920</Words>
  <Characters>10947</Characters>
  <Application>Microsoft Office Word</Application>
  <DocSecurity>0</DocSecurity>
  <Lines>91</Lines>
  <Paragraphs>25</Paragraphs>
  <ScaleCrop>false</ScaleCrop>
  <Company>Home</Company>
  <LinksUpToDate>false</LinksUpToDate>
  <CharactersWithSpaces>12842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политического процесса в Великобритании: традиции и современность</dc:title>
  <dc:subject/>
  <dc:creator>Alena</dc:creator>
  <cp:keywords/>
  <dc:description/>
  <cp:lastModifiedBy>admin</cp:lastModifiedBy>
  <cp:revision>2</cp:revision>
  <dcterms:created xsi:type="dcterms:W3CDTF">2014-02-19T11:22:00Z</dcterms:created>
  <dcterms:modified xsi:type="dcterms:W3CDTF">2014-02-19T11:22:00Z</dcterms:modified>
</cp:coreProperties>
</file>