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27" w:rsidRPr="00B80393" w:rsidRDefault="00FF1127" w:rsidP="00FF1127">
      <w:pPr>
        <w:spacing w:before="120"/>
        <w:jc w:val="center"/>
        <w:rPr>
          <w:b/>
          <w:sz w:val="32"/>
        </w:rPr>
      </w:pPr>
      <w:r w:rsidRPr="00B80393">
        <w:rPr>
          <w:b/>
          <w:sz w:val="32"/>
        </w:rPr>
        <w:t>Особенности вещественного состава свинцово-цинковых руд и их влияние на экологическое равновесие на примере месторождений Буронского рудного поля</w:t>
      </w:r>
    </w:p>
    <w:p w:rsidR="00FF1127" w:rsidRPr="00B80393" w:rsidRDefault="00FF1127" w:rsidP="00FF1127">
      <w:pPr>
        <w:spacing w:before="120"/>
        <w:jc w:val="center"/>
        <w:rPr>
          <w:sz w:val="28"/>
        </w:rPr>
      </w:pPr>
      <w:r w:rsidRPr="00B80393">
        <w:rPr>
          <w:sz w:val="28"/>
        </w:rPr>
        <w:t>Асп. Пухаева З.Э.</w:t>
      </w:r>
    </w:p>
    <w:p w:rsidR="00FF1127" w:rsidRPr="00B80393" w:rsidRDefault="00FF1127" w:rsidP="00FF1127">
      <w:pPr>
        <w:spacing w:before="120"/>
        <w:jc w:val="center"/>
        <w:rPr>
          <w:sz w:val="28"/>
        </w:rPr>
      </w:pPr>
      <w:r w:rsidRPr="00B80393">
        <w:rPr>
          <w:sz w:val="28"/>
        </w:rPr>
        <w:t>Кафедра геологии и поисково-разведочного дела.</w:t>
      </w:r>
    </w:p>
    <w:p w:rsidR="00FF1127" w:rsidRPr="00B80393" w:rsidRDefault="00FF1127" w:rsidP="00FF1127">
      <w:pPr>
        <w:spacing w:before="120"/>
        <w:jc w:val="center"/>
        <w:rPr>
          <w:sz w:val="28"/>
        </w:rPr>
      </w:pPr>
      <w:r w:rsidRPr="00B80393">
        <w:rPr>
          <w:sz w:val="28"/>
        </w:rPr>
        <w:t>Северо-Кавказский государственный технологический университет</w:t>
      </w:r>
    </w:p>
    <w:p w:rsidR="00FF1127" w:rsidRDefault="00FF1127" w:rsidP="00FF1127">
      <w:pPr>
        <w:spacing w:before="120"/>
        <w:ind w:firstLine="567"/>
        <w:jc w:val="both"/>
      </w:pPr>
      <w:r w:rsidRPr="00192AB2">
        <w:t>Дана оценка основным рудным минералам как естественным источникам загрязнения окружающей среды на примере свинцово-цинковых месторождений Буронского рудного поля.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Нарушения экологического равновесия в биосфере могут быть вызваны различными причинами: природными глобальными и локальными эндо- и экзопроцессами, влиянием космогенных факторов и, наконец, антропогенными воздействиями на сферу влияния. Активное воздействие человека на среду обитания проявляется в нескольких главных направлениях антропогенной деятельности: в индустриальном, гражданском и дорожном строительстве, в гидроэнергетике, в разных отраслях тяжелой и легкой промышленности, в сельскохозяйственном производстве и в ходе интенсивного природопользования, в частности, в горно-промышленном комплексе. Влияние последнего направления антропогенеза на экологическую обстановку трудно переоценить. В процессе добычи полезных ископаемых извлекаются миллиарды тонн горной массы, нарушаются природные ландшафты, тысячи квадратных километров земной поверхности занимаются карьерами горно-добывающих предприятий, отвалами горных пород, хвостохранилищами. Вскрытие извлеченного из недр минерального вещества и перевод его на поверхность в иные термодинамические условия влечет за собой физическую и химическую трансформацию горных пород и минералов. На их основе</w:t>
      </w:r>
      <w:r>
        <w:t xml:space="preserve"> </w:t>
      </w:r>
      <w:r w:rsidRPr="00192AB2">
        <w:t>формируются новые вторичные продукты разного фазового состояния, часто токсичные, что нередко создает угрожающую экологическую обстановку в районах ныне действующих и отработавших свой срок предприятий.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Экологические проблемы, вызванные деятельностью горно- обогатительных комбинатов, обусловлены как составом перерабатываемых руд и горных пород, так и технологией их добычи и обогащения. О составе потоков загрязняющих веществ, которые начнут формироваться с началом добычи и обогащения руд разведуемого месторождения, можно судить по распределению химических элементов в рудах и первичных ореолах. Эти</w:t>
      </w:r>
      <w:r>
        <w:t xml:space="preserve"> </w:t>
      </w:r>
      <w:r w:rsidRPr="00192AB2">
        <w:t xml:space="preserve">данные определяют общий характер природных геохимических аномалий и ландшафтов изучаемого рудного поля. 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 xml:space="preserve">Оценку эколого-геохимического состояния различных геохимических систем обычно проводят по следующим показателям: распространенности (содержанию) химических элементов (в планетарных системах это кларки, в меньших – фоновые содержания, законы распределения, дисперсия) и формы нахождения химических элементов. 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Детальная оценка эколого-геохимической ситуации требует подразделения рудообразующих минералов как концентраторов примесных элементов. При этом необходимо учитывать доступность элементов, составляющих минералы, или скорость перехода элементов в доступную форму. Во многом это связано с растворимостью минералов.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Кислотно-основные свойства и условный потенциал ионизации. Характеристикой кислотно-основной силы соединений и минералов служит введенный В.А.Жариковым условный потенциал ионизации, который является объективной и строгой характеристикой, дающей возможность количественно выразить и сопоставить кислотно-основные свойства самых различных минералов и соединений.</w:t>
      </w:r>
    </w:p>
    <w:p w:rsidR="00FF1127" w:rsidRDefault="00FF1127" w:rsidP="00FF1127">
      <w:pPr>
        <w:spacing w:before="120"/>
        <w:ind w:firstLine="567"/>
        <w:jc w:val="both"/>
      </w:pPr>
      <w:r w:rsidRPr="00192AB2">
        <w:t>Сопоставление кислотно-основных характеристик сульфидов свинцово-цинковых месторождений Буронского рудного поля показывает, что из рудообразующих минералов свинцово-цинковых месторождений наиболее неустойчивыми к окислению являются сульфиды, в частности, сульфиды железа (табл.1).</w:t>
      </w:r>
    </w:p>
    <w:p w:rsidR="00FF1127" w:rsidRDefault="00FF1127" w:rsidP="00FF1127">
      <w:pPr>
        <w:spacing w:before="120"/>
        <w:ind w:firstLine="567"/>
        <w:jc w:val="both"/>
      </w:pPr>
      <w:r w:rsidRPr="00192AB2">
        <w:t>Таблица 1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Условные потенциалы ионизации рудных минералов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  <w:gridCol w:w="3737"/>
        <w:gridCol w:w="3295"/>
      </w:tblGrid>
      <w:tr w:rsidR="00FF1127" w:rsidRPr="00192AB2" w:rsidTr="00FF01E9">
        <w:trPr>
          <w:jc w:val="center"/>
        </w:trPr>
        <w:tc>
          <w:tcPr>
            <w:tcW w:w="1404" w:type="pct"/>
          </w:tcPr>
          <w:p w:rsidR="00FF1127" w:rsidRPr="00192AB2" w:rsidRDefault="00FF1127" w:rsidP="00FF01E9"/>
          <w:p w:rsidR="00FF1127" w:rsidRPr="00192AB2" w:rsidRDefault="00FF1127" w:rsidP="00FF01E9">
            <w:r w:rsidRPr="00192AB2">
              <w:t>Минерал</w:t>
            </w:r>
          </w:p>
        </w:tc>
        <w:tc>
          <w:tcPr>
            <w:tcW w:w="1911" w:type="pct"/>
          </w:tcPr>
          <w:p w:rsidR="00FF1127" w:rsidRPr="00192AB2" w:rsidRDefault="00FF1127" w:rsidP="00FF01E9"/>
          <w:p w:rsidR="00FF1127" w:rsidRPr="00192AB2" w:rsidRDefault="00FF1127" w:rsidP="00FF01E9">
            <w:r w:rsidRPr="00192AB2">
              <w:t>Расчетная формула</w:t>
            </w:r>
          </w:p>
        </w:tc>
        <w:tc>
          <w:tcPr>
            <w:tcW w:w="1685" w:type="pct"/>
          </w:tcPr>
          <w:p w:rsidR="00FF1127" w:rsidRPr="00192AB2" w:rsidRDefault="00FF1127" w:rsidP="00FF01E9">
            <w:r w:rsidRPr="00192AB2">
              <w:t xml:space="preserve">Условный потенциал ионизации, </w:t>
            </w:r>
          </w:p>
          <w:p w:rsidR="00FF1127" w:rsidRPr="00192AB2" w:rsidRDefault="00FF1127" w:rsidP="00FF01E9">
            <w:r w:rsidRPr="00192AB2">
              <w:t>Y, ккал/моль</w:t>
            </w:r>
          </w:p>
        </w:tc>
      </w:tr>
      <w:tr w:rsidR="00FF1127" w:rsidRPr="00192AB2" w:rsidTr="00FF01E9">
        <w:trPr>
          <w:jc w:val="center"/>
        </w:trPr>
        <w:tc>
          <w:tcPr>
            <w:tcW w:w="1404" w:type="pct"/>
          </w:tcPr>
          <w:p w:rsidR="00FF1127" w:rsidRPr="00192AB2" w:rsidRDefault="00FF1127" w:rsidP="00FF01E9">
            <w:r w:rsidRPr="00192AB2">
              <w:t>Пирит</w:t>
            </w:r>
          </w:p>
        </w:tc>
        <w:tc>
          <w:tcPr>
            <w:tcW w:w="1911" w:type="pct"/>
          </w:tcPr>
          <w:p w:rsidR="00FF1127" w:rsidRPr="00192AB2" w:rsidRDefault="00FF1127" w:rsidP="00FF01E9">
            <w:r w:rsidRPr="00192AB2">
              <w:t>FexS1-x</w:t>
            </w:r>
          </w:p>
        </w:tc>
        <w:tc>
          <w:tcPr>
            <w:tcW w:w="1685" w:type="pct"/>
          </w:tcPr>
          <w:p w:rsidR="00FF1127" w:rsidRPr="00192AB2" w:rsidRDefault="00FF1127" w:rsidP="00FF01E9">
            <w:r w:rsidRPr="00192AB2">
              <w:t>218</w:t>
            </w:r>
          </w:p>
        </w:tc>
      </w:tr>
      <w:tr w:rsidR="00FF1127" w:rsidRPr="00192AB2" w:rsidTr="00FF01E9">
        <w:trPr>
          <w:jc w:val="center"/>
        </w:trPr>
        <w:tc>
          <w:tcPr>
            <w:tcW w:w="1404" w:type="pct"/>
          </w:tcPr>
          <w:p w:rsidR="00FF1127" w:rsidRPr="00192AB2" w:rsidRDefault="00FF1127" w:rsidP="00FF01E9">
            <w:r w:rsidRPr="00192AB2">
              <w:t>Сфалерит</w:t>
            </w:r>
          </w:p>
        </w:tc>
        <w:tc>
          <w:tcPr>
            <w:tcW w:w="1911" w:type="pct"/>
          </w:tcPr>
          <w:p w:rsidR="00FF1127" w:rsidRPr="00192AB2" w:rsidRDefault="00FF1127" w:rsidP="00FF01E9">
            <w:r w:rsidRPr="00192AB2">
              <w:t>CuFeS2</w:t>
            </w:r>
          </w:p>
        </w:tc>
        <w:tc>
          <w:tcPr>
            <w:tcW w:w="1685" w:type="pct"/>
          </w:tcPr>
          <w:p w:rsidR="00FF1127" w:rsidRPr="00192AB2" w:rsidRDefault="00FF1127" w:rsidP="00FF01E9">
            <w:r w:rsidRPr="00192AB2">
              <w:t>208</w:t>
            </w:r>
          </w:p>
        </w:tc>
      </w:tr>
      <w:tr w:rsidR="00FF1127" w:rsidRPr="00192AB2" w:rsidTr="00FF01E9">
        <w:trPr>
          <w:jc w:val="center"/>
        </w:trPr>
        <w:tc>
          <w:tcPr>
            <w:tcW w:w="1404" w:type="pct"/>
          </w:tcPr>
          <w:p w:rsidR="00FF1127" w:rsidRPr="00192AB2" w:rsidRDefault="00FF1127" w:rsidP="00FF01E9">
            <w:r w:rsidRPr="00192AB2">
              <w:t>Халькопирит</w:t>
            </w:r>
          </w:p>
        </w:tc>
        <w:tc>
          <w:tcPr>
            <w:tcW w:w="1911" w:type="pct"/>
          </w:tcPr>
          <w:p w:rsidR="00FF1127" w:rsidRPr="00192AB2" w:rsidRDefault="00FF1127" w:rsidP="00FF01E9">
            <w:r w:rsidRPr="00192AB2">
              <w:t>FeS2</w:t>
            </w:r>
          </w:p>
        </w:tc>
        <w:tc>
          <w:tcPr>
            <w:tcW w:w="1685" w:type="pct"/>
          </w:tcPr>
          <w:p w:rsidR="00FF1127" w:rsidRPr="00192AB2" w:rsidRDefault="00FF1127" w:rsidP="00FF01E9">
            <w:r w:rsidRPr="00192AB2">
              <w:t>199,8</w:t>
            </w:r>
          </w:p>
        </w:tc>
      </w:tr>
      <w:tr w:rsidR="00FF1127" w:rsidRPr="00192AB2" w:rsidTr="00FF01E9">
        <w:trPr>
          <w:jc w:val="center"/>
        </w:trPr>
        <w:tc>
          <w:tcPr>
            <w:tcW w:w="1404" w:type="pct"/>
            <w:tcBorders>
              <w:bottom w:val="nil"/>
            </w:tcBorders>
          </w:tcPr>
          <w:p w:rsidR="00FF1127" w:rsidRPr="00192AB2" w:rsidRDefault="00FF1127" w:rsidP="00FF01E9">
            <w:r w:rsidRPr="00192AB2">
              <w:t>Пирротин</w:t>
            </w:r>
          </w:p>
        </w:tc>
        <w:tc>
          <w:tcPr>
            <w:tcW w:w="1911" w:type="pct"/>
            <w:tcBorders>
              <w:bottom w:val="nil"/>
            </w:tcBorders>
          </w:tcPr>
          <w:p w:rsidR="00FF1127" w:rsidRPr="00192AB2" w:rsidRDefault="00FF1127" w:rsidP="00FF01E9">
            <w:r w:rsidRPr="00192AB2">
              <w:t>ZnS</w:t>
            </w:r>
          </w:p>
        </w:tc>
        <w:tc>
          <w:tcPr>
            <w:tcW w:w="1685" w:type="pct"/>
            <w:tcBorders>
              <w:bottom w:val="nil"/>
            </w:tcBorders>
          </w:tcPr>
          <w:p w:rsidR="00FF1127" w:rsidRPr="00192AB2" w:rsidRDefault="00FF1127" w:rsidP="00FF01E9">
            <w:r w:rsidRPr="00192AB2">
              <w:t>188</w:t>
            </w:r>
          </w:p>
        </w:tc>
      </w:tr>
      <w:tr w:rsidR="00FF1127" w:rsidRPr="00192AB2" w:rsidTr="00FF01E9">
        <w:trPr>
          <w:jc w:val="center"/>
        </w:trPr>
        <w:tc>
          <w:tcPr>
            <w:tcW w:w="1404" w:type="pct"/>
          </w:tcPr>
          <w:p w:rsidR="00FF1127" w:rsidRPr="00192AB2" w:rsidRDefault="00FF1127" w:rsidP="00FF01E9">
            <w:r w:rsidRPr="00192AB2">
              <w:t>Галенит</w:t>
            </w:r>
          </w:p>
        </w:tc>
        <w:tc>
          <w:tcPr>
            <w:tcW w:w="1911" w:type="pct"/>
          </w:tcPr>
          <w:p w:rsidR="00FF1127" w:rsidRPr="00192AB2" w:rsidRDefault="00FF1127" w:rsidP="00FF01E9">
            <w:r w:rsidRPr="00192AB2">
              <w:t>PbS</w:t>
            </w:r>
          </w:p>
        </w:tc>
        <w:tc>
          <w:tcPr>
            <w:tcW w:w="1685" w:type="pct"/>
          </w:tcPr>
          <w:p w:rsidR="00FF1127" w:rsidRPr="00192AB2" w:rsidRDefault="00FF1127" w:rsidP="00FF01E9">
            <w:r w:rsidRPr="00192AB2">
              <w:t>178,5</w:t>
            </w:r>
          </w:p>
        </w:tc>
      </w:tr>
    </w:tbl>
    <w:p w:rsidR="00FF1127" w:rsidRPr="00192AB2" w:rsidRDefault="00FF1127" w:rsidP="00FF1127">
      <w:pPr>
        <w:spacing w:before="120"/>
        <w:ind w:firstLine="567"/>
        <w:jc w:val="both"/>
      </w:pP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 xml:space="preserve">В рудах колчеданно-полиметаллических месторождений Буронского рудного поля пирит является доминирующим рудным минералом, а в полиметаллических рудах Старого Цея доминирует сфалерит (табл.2). </w:t>
      </w:r>
    </w:p>
    <w:p w:rsidR="00FF1127" w:rsidRDefault="00FF1127" w:rsidP="00FF1127">
      <w:pPr>
        <w:spacing w:before="120"/>
        <w:ind w:firstLine="567"/>
        <w:jc w:val="both"/>
      </w:pPr>
      <w:r w:rsidRPr="00192AB2">
        <w:t>Таблица 2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 xml:space="preserve">Среднее содержание рудообразующих минералов Буронского, 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Староцейского и Садонского месторождений, %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6"/>
        <w:gridCol w:w="872"/>
        <w:gridCol w:w="1054"/>
        <w:gridCol w:w="1122"/>
        <w:gridCol w:w="1122"/>
        <w:gridCol w:w="1123"/>
        <w:gridCol w:w="1123"/>
        <w:gridCol w:w="1572"/>
      </w:tblGrid>
      <w:tr w:rsidR="00FF1127" w:rsidRPr="00192AB2" w:rsidTr="00FF01E9">
        <w:trPr>
          <w:jc w:val="center"/>
        </w:trPr>
        <w:tc>
          <w:tcPr>
            <w:tcW w:w="785" w:type="pct"/>
          </w:tcPr>
          <w:p w:rsidR="00FF1127" w:rsidRPr="00192AB2" w:rsidRDefault="00FF1127" w:rsidP="00FF01E9">
            <w:r w:rsidRPr="00192AB2">
              <w:t>Месторождение</w:t>
            </w:r>
          </w:p>
        </w:tc>
        <w:tc>
          <w:tcPr>
            <w:tcW w:w="464" w:type="pct"/>
          </w:tcPr>
          <w:p w:rsidR="00FF1127" w:rsidRPr="00192AB2" w:rsidRDefault="00FF1127" w:rsidP="00FF01E9">
            <w:r w:rsidRPr="00192AB2">
              <w:t>Пирит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Пир-</w:t>
            </w:r>
          </w:p>
          <w:p w:rsidR="00FF1127" w:rsidRPr="00192AB2" w:rsidRDefault="00FF1127" w:rsidP="00FF01E9">
            <w:r w:rsidRPr="00192AB2">
              <w:t>ротин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Сфале-</w:t>
            </w:r>
          </w:p>
          <w:p w:rsidR="00FF1127" w:rsidRPr="00192AB2" w:rsidRDefault="00FF1127" w:rsidP="00FF01E9">
            <w:r w:rsidRPr="00192AB2">
              <w:t>рит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Марка-</w:t>
            </w:r>
          </w:p>
          <w:p w:rsidR="00FF1127" w:rsidRPr="00192AB2" w:rsidRDefault="00FF1127" w:rsidP="00FF01E9">
            <w:r w:rsidRPr="00192AB2">
              <w:t>зит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Магне-</w:t>
            </w:r>
          </w:p>
          <w:p w:rsidR="00FF1127" w:rsidRPr="00192AB2" w:rsidRDefault="00FF1127" w:rsidP="00FF01E9">
            <w:r w:rsidRPr="00192AB2">
              <w:t>тит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Гале-</w:t>
            </w:r>
          </w:p>
          <w:p w:rsidR="00FF1127" w:rsidRPr="00192AB2" w:rsidRDefault="00FF1127" w:rsidP="00FF01E9">
            <w:r w:rsidRPr="00192AB2">
              <w:t>нит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Халькопирит</w:t>
            </w:r>
          </w:p>
        </w:tc>
      </w:tr>
      <w:tr w:rsidR="00FF1127" w:rsidRPr="00192AB2" w:rsidTr="00FF01E9">
        <w:trPr>
          <w:jc w:val="center"/>
        </w:trPr>
        <w:tc>
          <w:tcPr>
            <w:tcW w:w="785" w:type="pct"/>
          </w:tcPr>
          <w:p w:rsidR="00FF1127" w:rsidRPr="00192AB2" w:rsidRDefault="00FF1127" w:rsidP="00FF01E9">
            <w:r w:rsidRPr="00192AB2">
              <w:t>Бурон</w:t>
            </w:r>
          </w:p>
        </w:tc>
        <w:tc>
          <w:tcPr>
            <w:tcW w:w="464" w:type="pct"/>
          </w:tcPr>
          <w:p w:rsidR="00FF1127" w:rsidRPr="00192AB2" w:rsidRDefault="00FF1127" w:rsidP="00FF01E9">
            <w:r w:rsidRPr="00192AB2">
              <w:t>55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25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4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2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5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4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5</w:t>
            </w:r>
          </w:p>
        </w:tc>
      </w:tr>
      <w:tr w:rsidR="00FF1127" w:rsidRPr="00192AB2" w:rsidTr="00FF01E9">
        <w:trPr>
          <w:jc w:val="center"/>
        </w:trPr>
        <w:tc>
          <w:tcPr>
            <w:tcW w:w="785" w:type="pct"/>
          </w:tcPr>
          <w:p w:rsidR="00FF1127" w:rsidRPr="00192AB2" w:rsidRDefault="00FF1127" w:rsidP="00FF01E9">
            <w:r w:rsidRPr="00192AB2">
              <w:t>Старый Цей</w:t>
            </w:r>
          </w:p>
        </w:tc>
        <w:tc>
          <w:tcPr>
            <w:tcW w:w="464" w:type="pct"/>
          </w:tcPr>
          <w:p w:rsidR="00FF1127" w:rsidRPr="00192AB2" w:rsidRDefault="00FF1127" w:rsidP="00FF01E9">
            <w:r w:rsidRPr="00192AB2">
              <w:t>8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25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34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10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6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6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17</w:t>
            </w:r>
          </w:p>
        </w:tc>
      </w:tr>
      <w:tr w:rsidR="00FF1127" w:rsidRPr="00192AB2" w:rsidTr="00FF01E9">
        <w:trPr>
          <w:jc w:val="center"/>
        </w:trPr>
        <w:tc>
          <w:tcPr>
            <w:tcW w:w="785" w:type="pct"/>
          </w:tcPr>
          <w:p w:rsidR="00FF1127" w:rsidRPr="00192AB2" w:rsidRDefault="00FF1127" w:rsidP="00FF01E9">
            <w:r w:rsidRPr="00192AB2">
              <w:t>Садон</w:t>
            </w:r>
          </w:p>
        </w:tc>
        <w:tc>
          <w:tcPr>
            <w:tcW w:w="464" w:type="pct"/>
          </w:tcPr>
          <w:p w:rsidR="00FF1127" w:rsidRPr="00192AB2" w:rsidRDefault="00FF1127" w:rsidP="00FF01E9">
            <w:r w:rsidRPr="00192AB2">
              <w:t>30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18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9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16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0,1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18</w:t>
            </w:r>
          </w:p>
        </w:tc>
        <w:tc>
          <w:tcPr>
            <w:tcW w:w="625" w:type="pct"/>
          </w:tcPr>
          <w:p w:rsidR="00FF1127" w:rsidRPr="00192AB2" w:rsidRDefault="00FF1127" w:rsidP="00FF01E9">
            <w:r w:rsidRPr="00192AB2">
              <w:t>9</w:t>
            </w:r>
          </w:p>
        </w:tc>
      </w:tr>
    </w:tbl>
    <w:p w:rsidR="00FF1127" w:rsidRPr="00192AB2" w:rsidRDefault="00FF1127" w:rsidP="00FF1127">
      <w:pPr>
        <w:spacing w:before="120"/>
        <w:ind w:firstLine="567"/>
        <w:jc w:val="both"/>
      </w:pP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 xml:space="preserve">Как минералы-концентраторы, пирит и сфалерит в рудах изучаемых месторождений содержат заметные количества висмута, олова, кадмия, кобальта, серебра, мышьяка, индия, никеля, селена и титана. 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Таким образом,</w:t>
      </w:r>
      <w:r>
        <w:t xml:space="preserve"> </w:t>
      </w:r>
      <w:r w:rsidRPr="00192AB2">
        <w:t>из всех рудных минералов в составе месторождений Буронского рудного поля наиболее распространены пирит и сфалерит,</w:t>
      </w:r>
      <w:r w:rsidRPr="00192AB2">
        <w:footnoteReference w:customMarkFollows="1" w:id="1"/>
        <w:t>* содержащие набор примесных элементов, относящихся к 1 и 2 группам экологической опасности. Поэтому они являются угрожающе опасными в экзогенных процессах, усугубляющихся техногенными процессами в окружающей среде.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Коэффициенты экологической опасности рудных минералов. Колчеданные и полиметаллические руды являются серьезным источником загрязнения окружающей среды на всех стадиях их технологической переработки: добыча, обогащение, металлургия. Рудообразующие элементы</w:t>
      </w:r>
      <w:r>
        <w:t xml:space="preserve"> </w:t>
      </w:r>
      <w:r w:rsidRPr="00192AB2">
        <w:t>(S, Cu, Zn, иногда Pb) и большинство элементов-примесей (Co, Ni, Te, In, Ge, Tl, Cd и др.) относятся к элементам высокой (1 класс опасности) и повышенной (2 класс опасности) токсичности.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Химический состав одних и тех же минералов на отдельных месторождениях имеет индивидуальный характер и, в основном, зависит от состава рудоносных растворов и условий их формирования.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Классификация минералов по степени их экологической опасности, как естественных потенциальных источников загрязнения окружающей среды, находится на стадии разработки.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Подставляя в формулу Р. Моксхэма для определения коэффициента накопления микроэлементов в минералах вместо кларка элемента его ПДК в литосфере, получили новую формулу, которая и используется для определения коэффициента экологической опасности минерала, равного среднему содержанию изучаемой группы элементов, выраженному в ПДК: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6" o:title=""/>
          </v:shape>
          <o:OLEObject Type="Embed" ProgID="Equation.3" ShapeID="_x0000_i1025" DrawAspect="Content" ObjectID="_1454372939" r:id="rId7"/>
        </w:object>
      </w:r>
      <w:r w:rsidRPr="00192AB2">
        <w:object w:dxaOrig="1359" w:dyaOrig="620">
          <v:shape id="_x0000_i1026" type="#_x0000_t75" style="width:68.25pt;height:30.75pt" o:ole="" fillcolor="window">
            <v:imagedata r:id="rId8" o:title=""/>
          </v:shape>
          <o:OLEObject Type="Embed" ProgID="Equation.3" ShapeID="_x0000_i1026" DrawAspect="Content" ObjectID="_1454372940" r:id="rId9"/>
        </w:object>
      </w:r>
      <w:r w:rsidRPr="00192AB2">
        <w:t xml:space="preserve"> ,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где Сi – содержание элемента в минерале, г/т*.</w:t>
      </w:r>
    </w:p>
    <w:p w:rsidR="00FF1127" w:rsidRDefault="00FF1127" w:rsidP="00FF1127">
      <w:pPr>
        <w:spacing w:before="120"/>
        <w:ind w:firstLine="567"/>
        <w:jc w:val="both"/>
      </w:pPr>
      <w:r w:rsidRPr="00192AB2">
        <w:t>По приведенным ниже формулам были рассчитаны коэффициенты экологической опасности основных рудообразующих минералов Садонского, Староцейского и Буронского месторождений: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object w:dxaOrig="1060" w:dyaOrig="620">
          <v:shape id="_x0000_i1027" type="#_x0000_t75" style="width:53.25pt;height:30.75pt" o:ole="" fillcolor="window">
            <v:imagedata r:id="rId10" o:title=""/>
          </v:shape>
          <o:OLEObject Type="Embed" ProgID="Equation.3" ShapeID="_x0000_i1027" DrawAspect="Content" ObjectID="_1454372941" r:id="rId11"/>
        </w:object>
      </w:r>
      <w:r w:rsidRPr="00192AB2">
        <w:t>,</w:t>
      </w:r>
    </w:p>
    <w:p w:rsidR="00FF1127" w:rsidRDefault="00FF1127" w:rsidP="00FF1127">
      <w:pPr>
        <w:spacing w:before="120"/>
        <w:ind w:firstLine="567"/>
        <w:jc w:val="both"/>
      </w:pPr>
      <w:r w:rsidRPr="00192AB2">
        <w:t>где С - содержание элемента в минерале, г/т;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object w:dxaOrig="1960" w:dyaOrig="400">
          <v:shape id="_x0000_i1028" type="#_x0000_t75" style="width:98.25pt;height:20.25pt" o:ole="">
            <v:imagedata r:id="rId12" o:title=""/>
          </v:shape>
          <o:OLEObject Type="Embed" ProgID="Equation.3" ShapeID="_x0000_i1028" DrawAspect="Content" ObjectID="_1454372942" r:id="rId13"/>
        </w:object>
      </w:r>
      <w:r w:rsidRPr="00192AB2">
        <w:t>,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Z0 - суммарный коэффициент опасности;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n - количество проб.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Были получены следующие результаты (табл. 3):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- в рудах буронского типа наиболее опасными являются пирит, сфалерит и галенит (чрезвычайно опасные - ЧО);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- в рудах Старого Цея – пирит, галенит и сфалерит (ЧО);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- в рудах садонского типа – сфалерит, галенит и пирит (ЧО).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Таблица 3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Коэффициенты экологической опасности рудных минералов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1320"/>
        <w:gridCol w:w="1318"/>
        <w:gridCol w:w="1099"/>
        <w:gridCol w:w="1320"/>
        <w:gridCol w:w="1318"/>
        <w:gridCol w:w="1537"/>
      </w:tblGrid>
      <w:tr w:rsidR="00FF1127" w:rsidRPr="00192AB2" w:rsidTr="00FF01E9">
        <w:trPr>
          <w:jc w:val="center"/>
        </w:trPr>
        <w:tc>
          <w:tcPr>
            <w:tcW w:w="954" w:type="pct"/>
            <w:tcBorders>
              <w:bottom w:val="nil"/>
            </w:tcBorders>
          </w:tcPr>
          <w:p w:rsidR="00FF1127" w:rsidRPr="00192AB2" w:rsidRDefault="00FF1127" w:rsidP="00FF01E9"/>
        </w:tc>
        <w:tc>
          <w:tcPr>
            <w:tcW w:w="4046" w:type="pct"/>
            <w:gridSpan w:val="6"/>
          </w:tcPr>
          <w:p w:rsidR="00FF1127" w:rsidRPr="00192AB2" w:rsidRDefault="00FF1127" w:rsidP="00FF01E9">
            <w:r w:rsidRPr="00192AB2">
              <w:t>Месторождение</w:t>
            </w:r>
          </w:p>
        </w:tc>
      </w:tr>
      <w:tr w:rsidR="00FF1127" w:rsidRPr="00192AB2" w:rsidTr="00FF01E9">
        <w:trPr>
          <w:jc w:val="center"/>
        </w:trPr>
        <w:tc>
          <w:tcPr>
            <w:tcW w:w="954" w:type="pct"/>
            <w:tcBorders>
              <w:top w:val="nil"/>
              <w:bottom w:val="nil"/>
            </w:tcBorders>
          </w:tcPr>
          <w:p w:rsidR="00FF1127" w:rsidRPr="00192AB2" w:rsidRDefault="00FF1127" w:rsidP="00FF01E9">
            <w:r w:rsidRPr="00192AB2">
              <w:t>Минерал</w:t>
            </w:r>
          </w:p>
        </w:tc>
        <w:tc>
          <w:tcPr>
            <w:tcW w:w="1349" w:type="pct"/>
            <w:gridSpan w:val="2"/>
          </w:tcPr>
          <w:p w:rsidR="00FF1127" w:rsidRPr="00192AB2" w:rsidRDefault="00FF1127" w:rsidP="00FF01E9">
            <w:r w:rsidRPr="00192AB2">
              <w:t>Бурон</w:t>
            </w:r>
          </w:p>
        </w:tc>
        <w:tc>
          <w:tcPr>
            <w:tcW w:w="1237" w:type="pct"/>
            <w:gridSpan w:val="2"/>
          </w:tcPr>
          <w:p w:rsidR="00FF1127" w:rsidRPr="00192AB2" w:rsidRDefault="00FF1127" w:rsidP="00FF01E9">
            <w:r w:rsidRPr="00192AB2">
              <w:t>Старый Цей</w:t>
            </w:r>
          </w:p>
        </w:tc>
        <w:tc>
          <w:tcPr>
            <w:tcW w:w="1460" w:type="pct"/>
            <w:gridSpan w:val="2"/>
          </w:tcPr>
          <w:p w:rsidR="00FF1127" w:rsidRPr="00192AB2" w:rsidRDefault="00FF1127" w:rsidP="00FF01E9">
            <w:r w:rsidRPr="00192AB2">
              <w:t>Садон</w:t>
            </w:r>
          </w:p>
        </w:tc>
      </w:tr>
      <w:tr w:rsidR="00FF1127" w:rsidRPr="00192AB2" w:rsidTr="00FF01E9">
        <w:trPr>
          <w:jc w:val="center"/>
        </w:trPr>
        <w:tc>
          <w:tcPr>
            <w:tcW w:w="954" w:type="pct"/>
            <w:tcBorders>
              <w:top w:val="nil"/>
            </w:tcBorders>
          </w:tcPr>
          <w:p w:rsidR="00FF1127" w:rsidRPr="00192AB2" w:rsidRDefault="00FF1127" w:rsidP="00FF01E9"/>
        </w:tc>
        <w:tc>
          <w:tcPr>
            <w:tcW w:w="675" w:type="pct"/>
          </w:tcPr>
          <w:p w:rsidR="00FF1127" w:rsidRPr="00192AB2" w:rsidRDefault="00FF1127" w:rsidP="00FF01E9">
            <w:r w:rsidRPr="00192AB2">
              <w:sym w:font="Symbol" w:char="F0E5"/>
            </w:r>
            <w:r w:rsidRPr="00192AB2">
              <w:t>Ko</w:t>
            </w:r>
          </w:p>
        </w:tc>
        <w:tc>
          <w:tcPr>
            <w:tcW w:w="674" w:type="pct"/>
          </w:tcPr>
          <w:p w:rsidR="00FF1127" w:rsidRPr="00192AB2" w:rsidRDefault="00FF1127" w:rsidP="00FF01E9">
            <w:r w:rsidRPr="00192AB2">
              <w:t>Zo</w:t>
            </w:r>
          </w:p>
        </w:tc>
        <w:tc>
          <w:tcPr>
            <w:tcW w:w="562" w:type="pct"/>
          </w:tcPr>
          <w:p w:rsidR="00FF1127" w:rsidRPr="00192AB2" w:rsidRDefault="00FF1127" w:rsidP="00FF01E9">
            <w:r w:rsidRPr="00192AB2">
              <w:sym w:font="Symbol" w:char="F0E5"/>
            </w:r>
            <w:r w:rsidRPr="00192AB2">
              <w:t>Ko</w:t>
            </w:r>
          </w:p>
        </w:tc>
        <w:tc>
          <w:tcPr>
            <w:tcW w:w="675" w:type="pct"/>
          </w:tcPr>
          <w:p w:rsidR="00FF1127" w:rsidRPr="00192AB2" w:rsidRDefault="00FF1127" w:rsidP="00FF01E9">
            <w:r w:rsidRPr="00192AB2">
              <w:t>Zo</w:t>
            </w:r>
          </w:p>
        </w:tc>
        <w:tc>
          <w:tcPr>
            <w:tcW w:w="674" w:type="pct"/>
          </w:tcPr>
          <w:p w:rsidR="00FF1127" w:rsidRPr="00192AB2" w:rsidRDefault="00FF1127" w:rsidP="00FF01E9">
            <w:r w:rsidRPr="00192AB2">
              <w:sym w:font="Symbol" w:char="F0E5"/>
            </w:r>
            <w:r w:rsidRPr="00192AB2">
              <w:t>Ko</w:t>
            </w:r>
          </w:p>
        </w:tc>
        <w:tc>
          <w:tcPr>
            <w:tcW w:w="786" w:type="pct"/>
          </w:tcPr>
          <w:p w:rsidR="00FF1127" w:rsidRPr="00192AB2" w:rsidRDefault="00FF1127" w:rsidP="00FF01E9">
            <w:r w:rsidRPr="00192AB2">
              <w:t>Zo</w:t>
            </w:r>
          </w:p>
        </w:tc>
      </w:tr>
      <w:tr w:rsidR="00FF1127" w:rsidRPr="00192AB2" w:rsidTr="00FF01E9">
        <w:trPr>
          <w:jc w:val="center"/>
        </w:trPr>
        <w:tc>
          <w:tcPr>
            <w:tcW w:w="954" w:type="pct"/>
          </w:tcPr>
          <w:p w:rsidR="00FF1127" w:rsidRPr="00192AB2" w:rsidRDefault="00FF1127" w:rsidP="00FF01E9">
            <w:r w:rsidRPr="00192AB2">
              <w:t>Галенит</w:t>
            </w:r>
          </w:p>
        </w:tc>
        <w:tc>
          <w:tcPr>
            <w:tcW w:w="675" w:type="pct"/>
          </w:tcPr>
          <w:p w:rsidR="00FF1127" w:rsidRPr="00192AB2" w:rsidRDefault="00FF1127" w:rsidP="00FF01E9">
            <w:r w:rsidRPr="00192AB2">
              <w:t>517,61</w:t>
            </w:r>
          </w:p>
        </w:tc>
        <w:tc>
          <w:tcPr>
            <w:tcW w:w="674" w:type="pct"/>
          </w:tcPr>
          <w:p w:rsidR="00FF1127" w:rsidRPr="00192AB2" w:rsidRDefault="00FF1127" w:rsidP="00FF01E9">
            <w:r w:rsidRPr="00192AB2">
              <w:t>506,61</w:t>
            </w:r>
          </w:p>
        </w:tc>
        <w:tc>
          <w:tcPr>
            <w:tcW w:w="562" w:type="pct"/>
          </w:tcPr>
          <w:p w:rsidR="00FF1127" w:rsidRPr="00192AB2" w:rsidRDefault="00FF1127" w:rsidP="00FF01E9">
            <w:r w:rsidRPr="00192AB2">
              <w:t>639,35</w:t>
            </w:r>
          </w:p>
        </w:tc>
        <w:tc>
          <w:tcPr>
            <w:tcW w:w="675" w:type="pct"/>
          </w:tcPr>
          <w:p w:rsidR="00FF1127" w:rsidRPr="00192AB2" w:rsidRDefault="00FF1127" w:rsidP="00FF01E9">
            <w:r w:rsidRPr="00192AB2">
              <w:t>628,35</w:t>
            </w:r>
          </w:p>
        </w:tc>
        <w:tc>
          <w:tcPr>
            <w:tcW w:w="674" w:type="pct"/>
          </w:tcPr>
          <w:p w:rsidR="00FF1127" w:rsidRPr="00192AB2" w:rsidRDefault="00FF1127" w:rsidP="00FF01E9">
            <w:r w:rsidRPr="00192AB2">
              <w:t>723,87</w:t>
            </w:r>
          </w:p>
        </w:tc>
        <w:tc>
          <w:tcPr>
            <w:tcW w:w="786" w:type="pct"/>
          </w:tcPr>
          <w:p w:rsidR="00FF1127" w:rsidRPr="00192AB2" w:rsidRDefault="00FF1127" w:rsidP="00FF01E9">
            <w:r w:rsidRPr="00192AB2">
              <w:t>712,87</w:t>
            </w:r>
          </w:p>
        </w:tc>
      </w:tr>
      <w:tr w:rsidR="00FF1127" w:rsidRPr="00192AB2" w:rsidTr="00FF01E9">
        <w:trPr>
          <w:jc w:val="center"/>
        </w:trPr>
        <w:tc>
          <w:tcPr>
            <w:tcW w:w="954" w:type="pct"/>
          </w:tcPr>
          <w:p w:rsidR="00FF1127" w:rsidRPr="00192AB2" w:rsidRDefault="00FF1127" w:rsidP="00FF01E9">
            <w:r w:rsidRPr="00192AB2">
              <w:t>Сфалерит</w:t>
            </w:r>
          </w:p>
        </w:tc>
        <w:tc>
          <w:tcPr>
            <w:tcW w:w="675" w:type="pct"/>
          </w:tcPr>
          <w:p w:rsidR="00FF1127" w:rsidRPr="00192AB2" w:rsidRDefault="00FF1127" w:rsidP="00FF01E9">
            <w:r w:rsidRPr="00192AB2">
              <w:t>640,79</w:t>
            </w:r>
          </w:p>
        </w:tc>
        <w:tc>
          <w:tcPr>
            <w:tcW w:w="674" w:type="pct"/>
          </w:tcPr>
          <w:p w:rsidR="00FF1127" w:rsidRPr="00192AB2" w:rsidRDefault="00FF1127" w:rsidP="00FF01E9">
            <w:r w:rsidRPr="00192AB2">
              <w:t>632,79</w:t>
            </w:r>
          </w:p>
        </w:tc>
        <w:tc>
          <w:tcPr>
            <w:tcW w:w="562" w:type="pct"/>
          </w:tcPr>
          <w:p w:rsidR="00FF1127" w:rsidRPr="00192AB2" w:rsidRDefault="00FF1127" w:rsidP="00FF01E9">
            <w:r w:rsidRPr="00192AB2">
              <w:t>517,47</w:t>
            </w:r>
          </w:p>
        </w:tc>
        <w:tc>
          <w:tcPr>
            <w:tcW w:w="675" w:type="pct"/>
          </w:tcPr>
          <w:p w:rsidR="00FF1127" w:rsidRPr="00192AB2" w:rsidRDefault="00FF1127" w:rsidP="00FF01E9">
            <w:r w:rsidRPr="00192AB2">
              <w:t>508,47</w:t>
            </w:r>
          </w:p>
        </w:tc>
        <w:tc>
          <w:tcPr>
            <w:tcW w:w="674" w:type="pct"/>
          </w:tcPr>
          <w:p w:rsidR="00FF1127" w:rsidRPr="00192AB2" w:rsidRDefault="00FF1127" w:rsidP="00FF01E9">
            <w:r w:rsidRPr="00192AB2">
              <w:t>713,25</w:t>
            </w:r>
          </w:p>
        </w:tc>
        <w:tc>
          <w:tcPr>
            <w:tcW w:w="786" w:type="pct"/>
          </w:tcPr>
          <w:p w:rsidR="00FF1127" w:rsidRPr="00192AB2" w:rsidRDefault="00FF1127" w:rsidP="00FF01E9">
            <w:r w:rsidRPr="00192AB2">
              <w:t>703,25</w:t>
            </w:r>
          </w:p>
        </w:tc>
      </w:tr>
      <w:tr w:rsidR="00FF1127" w:rsidRPr="00192AB2" w:rsidTr="00FF01E9">
        <w:trPr>
          <w:jc w:val="center"/>
        </w:trPr>
        <w:tc>
          <w:tcPr>
            <w:tcW w:w="954" w:type="pct"/>
          </w:tcPr>
          <w:p w:rsidR="00FF1127" w:rsidRPr="00192AB2" w:rsidRDefault="00FF1127" w:rsidP="00FF01E9">
            <w:r w:rsidRPr="00192AB2">
              <w:t>Пирит</w:t>
            </w:r>
          </w:p>
        </w:tc>
        <w:tc>
          <w:tcPr>
            <w:tcW w:w="675" w:type="pct"/>
          </w:tcPr>
          <w:p w:rsidR="00FF1127" w:rsidRPr="00192AB2" w:rsidRDefault="00FF1127" w:rsidP="00FF01E9">
            <w:r w:rsidRPr="00192AB2">
              <w:t>2330,62</w:t>
            </w:r>
          </w:p>
        </w:tc>
        <w:tc>
          <w:tcPr>
            <w:tcW w:w="674" w:type="pct"/>
          </w:tcPr>
          <w:p w:rsidR="00FF1127" w:rsidRPr="00192AB2" w:rsidRDefault="00FF1127" w:rsidP="00FF01E9">
            <w:r w:rsidRPr="00192AB2">
              <w:t>2319,62</w:t>
            </w:r>
          </w:p>
        </w:tc>
        <w:tc>
          <w:tcPr>
            <w:tcW w:w="562" w:type="pct"/>
          </w:tcPr>
          <w:p w:rsidR="00FF1127" w:rsidRPr="00192AB2" w:rsidRDefault="00FF1127" w:rsidP="00FF01E9">
            <w:r w:rsidRPr="00192AB2">
              <w:t>1115,6</w:t>
            </w:r>
          </w:p>
        </w:tc>
        <w:tc>
          <w:tcPr>
            <w:tcW w:w="675" w:type="pct"/>
          </w:tcPr>
          <w:p w:rsidR="00FF1127" w:rsidRPr="00192AB2" w:rsidRDefault="00FF1127" w:rsidP="00FF01E9">
            <w:r w:rsidRPr="00192AB2">
              <w:t>1104,6</w:t>
            </w:r>
          </w:p>
        </w:tc>
        <w:tc>
          <w:tcPr>
            <w:tcW w:w="674" w:type="pct"/>
          </w:tcPr>
          <w:p w:rsidR="00FF1127" w:rsidRPr="00192AB2" w:rsidRDefault="00FF1127" w:rsidP="00FF01E9">
            <w:r w:rsidRPr="00192AB2">
              <w:t>515,21</w:t>
            </w:r>
          </w:p>
        </w:tc>
        <w:tc>
          <w:tcPr>
            <w:tcW w:w="786" w:type="pct"/>
          </w:tcPr>
          <w:p w:rsidR="00FF1127" w:rsidRPr="00192AB2" w:rsidRDefault="00FF1127" w:rsidP="00FF01E9">
            <w:r w:rsidRPr="00192AB2">
              <w:t>504,21</w:t>
            </w:r>
          </w:p>
        </w:tc>
      </w:tr>
      <w:tr w:rsidR="00FF1127" w:rsidRPr="00192AB2" w:rsidTr="00FF01E9">
        <w:trPr>
          <w:jc w:val="center"/>
        </w:trPr>
        <w:tc>
          <w:tcPr>
            <w:tcW w:w="954" w:type="pct"/>
          </w:tcPr>
          <w:p w:rsidR="00FF1127" w:rsidRPr="00192AB2" w:rsidRDefault="00FF1127" w:rsidP="00FF01E9">
            <w:r w:rsidRPr="00192AB2">
              <w:t>Пирротин</w:t>
            </w:r>
          </w:p>
        </w:tc>
        <w:tc>
          <w:tcPr>
            <w:tcW w:w="675" w:type="pct"/>
          </w:tcPr>
          <w:p w:rsidR="00FF1127" w:rsidRPr="00192AB2" w:rsidRDefault="00FF1127" w:rsidP="00FF01E9">
            <w:r w:rsidRPr="00192AB2">
              <w:t>97,08</w:t>
            </w:r>
          </w:p>
        </w:tc>
        <w:tc>
          <w:tcPr>
            <w:tcW w:w="674" w:type="pct"/>
          </w:tcPr>
          <w:p w:rsidR="00FF1127" w:rsidRPr="00192AB2" w:rsidRDefault="00FF1127" w:rsidP="00FF01E9">
            <w:r w:rsidRPr="00192AB2">
              <w:t>88,08</w:t>
            </w:r>
          </w:p>
        </w:tc>
        <w:tc>
          <w:tcPr>
            <w:tcW w:w="562" w:type="pct"/>
          </w:tcPr>
          <w:p w:rsidR="00FF1127" w:rsidRPr="00192AB2" w:rsidRDefault="00FF1127" w:rsidP="00FF01E9">
            <w:r w:rsidRPr="00192AB2">
              <w:t>39,76</w:t>
            </w:r>
          </w:p>
        </w:tc>
        <w:tc>
          <w:tcPr>
            <w:tcW w:w="675" w:type="pct"/>
          </w:tcPr>
          <w:p w:rsidR="00FF1127" w:rsidRPr="00192AB2" w:rsidRDefault="00FF1127" w:rsidP="00FF01E9">
            <w:r w:rsidRPr="00192AB2">
              <w:t>30,76</w:t>
            </w:r>
          </w:p>
        </w:tc>
        <w:tc>
          <w:tcPr>
            <w:tcW w:w="674" w:type="pct"/>
          </w:tcPr>
          <w:p w:rsidR="00FF1127" w:rsidRPr="00192AB2" w:rsidRDefault="00FF1127" w:rsidP="00FF01E9">
            <w:r w:rsidRPr="00192AB2">
              <w:t>24</w:t>
            </w:r>
          </w:p>
        </w:tc>
        <w:tc>
          <w:tcPr>
            <w:tcW w:w="786" w:type="pct"/>
          </w:tcPr>
          <w:p w:rsidR="00FF1127" w:rsidRPr="00192AB2" w:rsidRDefault="00FF1127" w:rsidP="00FF01E9">
            <w:r w:rsidRPr="00192AB2">
              <w:t>16</w:t>
            </w:r>
          </w:p>
        </w:tc>
      </w:tr>
      <w:tr w:rsidR="00FF1127" w:rsidRPr="00192AB2" w:rsidTr="00FF01E9">
        <w:trPr>
          <w:jc w:val="center"/>
        </w:trPr>
        <w:tc>
          <w:tcPr>
            <w:tcW w:w="954" w:type="pct"/>
          </w:tcPr>
          <w:p w:rsidR="00FF1127" w:rsidRPr="00192AB2" w:rsidRDefault="00FF1127" w:rsidP="00FF01E9">
            <w:r w:rsidRPr="00192AB2">
              <w:t>Халькопирит</w:t>
            </w:r>
          </w:p>
        </w:tc>
        <w:tc>
          <w:tcPr>
            <w:tcW w:w="675" w:type="pct"/>
          </w:tcPr>
          <w:p w:rsidR="00FF1127" w:rsidRPr="00192AB2" w:rsidRDefault="00FF1127" w:rsidP="00FF01E9">
            <w:r w:rsidRPr="00192AB2">
              <w:t>133,42</w:t>
            </w:r>
          </w:p>
        </w:tc>
        <w:tc>
          <w:tcPr>
            <w:tcW w:w="674" w:type="pct"/>
          </w:tcPr>
          <w:p w:rsidR="00FF1127" w:rsidRPr="00192AB2" w:rsidRDefault="00FF1127" w:rsidP="00FF01E9">
            <w:r w:rsidRPr="00192AB2">
              <w:t>126,42</w:t>
            </w:r>
          </w:p>
        </w:tc>
        <w:tc>
          <w:tcPr>
            <w:tcW w:w="562" w:type="pct"/>
          </w:tcPr>
          <w:p w:rsidR="00FF1127" w:rsidRPr="00192AB2" w:rsidRDefault="00FF1127" w:rsidP="00FF01E9">
            <w:r w:rsidRPr="00192AB2">
              <w:t>55,36</w:t>
            </w:r>
          </w:p>
        </w:tc>
        <w:tc>
          <w:tcPr>
            <w:tcW w:w="675" w:type="pct"/>
          </w:tcPr>
          <w:p w:rsidR="00FF1127" w:rsidRPr="00192AB2" w:rsidRDefault="00FF1127" w:rsidP="00FF01E9">
            <w:r w:rsidRPr="00192AB2">
              <w:t>49,36</w:t>
            </w:r>
          </w:p>
        </w:tc>
        <w:tc>
          <w:tcPr>
            <w:tcW w:w="674" w:type="pct"/>
          </w:tcPr>
          <w:p w:rsidR="00FF1127" w:rsidRPr="00192AB2" w:rsidRDefault="00FF1127" w:rsidP="00FF01E9">
            <w:r w:rsidRPr="00192AB2">
              <w:t>40,44</w:t>
            </w:r>
          </w:p>
        </w:tc>
        <w:tc>
          <w:tcPr>
            <w:tcW w:w="786" w:type="pct"/>
          </w:tcPr>
          <w:p w:rsidR="00FF1127" w:rsidRPr="00192AB2" w:rsidRDefault="00FF1127" w:rsidP="00FF01E9">
            <w:r w:rsidRPr="00192AB2">
              <w:t>30,44</w:t>
            </w:r>
          </w:p>
        </w:tc>
      </w:tr>
    </w:tbl>
    <w:p w:rsidR="00FF1127" w:rsidRPr="00192AB2" w:rsidRDefault="00FF1127" w:rsidP="00FF1127">
      <w:pPr>
        <w:spacing w:before="120"/>
        <w:ind w:firstLine="567"/>
        <w:jc w:val="both"/>
      </w:pP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Таким образом, применяли два различных критерия для определения степени экологической опасности</w:t>
      </w:r>
      <w:r>
        <w:t xml:space="preserve"> </w:t>
      </w:r>
      <w:r w:rsidRPr="00192AB2">
        <w:t>минералов, условный потенциал ионизации и коэффициент экологической опасности. С учетом распространенности исследуемых рудных минералов (см. табл. 2) в колчеданно-полиметаллических рудах буронского типа наиболее неустойчивыми и экологически опасными являются пирит и сфалерит , в рудах садонского типа – пирит и галенит; в полиметаллических рудах Старого Цея – сфалерит и пирит.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Негативное влияние сульфидов на окружающую среду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 xml:space="preserve">Руды полиметаллических месторождений Горной Осетии характеризуются относительно богатым спектром промышленно значимых элементов. Основными носителями примесей в рудах являются сульфиды, содержание которых определяет уровень концентрации рассеянных элементов. 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Причем для значительной части примесных элементов их содержание в хвостах по сравнению с исходными рудами увеличивается на порядок и более.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Исследования и анализ данных по распределению различных элементов в продуктах обогащения показали, что подобная закономерность отчасти объясняется наличием некоторых количеств галенита и сфалерита, но, главным образом, присутствием в хвостах пирротина, пирита, халькопирита и других сульфидов (содержание которых не превышает 2 – 3 % от общего количества).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Среди отвальных продуктов различных обогатительных фабрик особой «железистостью» отличаются буронские хвосты, которые также характеризуются относительно высокими содержаниями кобальта и никеля. Это обусловлено, главным образом, наличием большого количества сульфидов (пирит, сфалерит и др.), составляющих основу руд, и, в меньшей мере, составом рудовмещающих пород.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Садонские хвосты содержат титан, германий и ванадий, которые находятся в примесной форме в сфалерите и сульфидах железа (пирите, пирротине и халькопирите). Расчет потенциальной экологической опасности данных сульфидов подтвердился.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 xml:space="preserve">Буронские хвосты отличаются набором примесных элементов, характерных для основных рудных минералов: пирита, пирротина, галенита и сфалерита. Теоретически опасность данных минералов также была рассчитана верно (см. табл. 3). </w:t>
      </w:r>
    </w:p>
    <w:p w:rsidR="00FF1127" w:rsidRPr="00192AB2" w:rsidRDefault="00FF1127" w:rsidP="00FF1127">
      <w:pPr>
        <w:spacing w:before="120"/>
        <w:ind w:firstLine="567"/>
        <w:jc w:val="both"/>
      </w:pPr>
      <w:r w:rsidRPr="00192AB2">
        <w:t>Таким образом, влияние сульфидов руд свинцово-цинковых месторождений Буронского рудного поля имеет двойственное направление: с одной стороны, неустойчивый характер основных рудных минералов – пирита, сфалерита и галенита создает благоприятные условия для образования активной серной кислоты, переводящей тяжелые металлы в подвижные формы. С другой стороны, как минералы-концентраторы ряда полезных примесей (кадмий, кобальт, мышьяк, индий, селен и др.), окисляясь, высвобождают тяжелые металлы, вызывая тем самым интенсивное загрязнение окружающей среды. Тем более что специфика экологических и гигиенических последствий техногенного загрязнения окружающей среды горно-промышленных территорий заключается в комплексности состава загрязняющих веществ, среди которых определяющую роль играют токсичные химические элементы. Токсичность химических элементов (и их соединений) зависит не только от их концентрации, а зачастую и от вида их нахождения в биосфере.</w:t>
      </w:r>
    </w:p>
    <w:p w:rsidR="00FF1127" w:rsidRDefault="00FF1127" w:rsidP="00FF1127">
      <w:pPr>
        <w:spacing w:before="120"/>
        <w:ind w:firstLine="567"/>
        <w:jc w:val="both"/>
      </w:pPr>
      <w:r w:rsidRPr="00192AB2">
        <w:t>Заключение. Данные по параметрам распределения и запасам рудных тел с учетом форм их нахождения и вероятной подвижности в физико-химических условиях окружающей среды позволяют дать прогнозную оценку рудных месторождений как источников загрязнения.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27" w:rsidRDefault="00FF1127">
      <w:r>
        <w:separator/>
      </w:r>
    </w:p>
  </w:endnote>
  <w:endnote w:type="continuationSeparator" w:id="0">
    <w:p w:rsidR="00FF1127" w:rsidRDefault="00FF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27" w:rsidRDefault="00FF1127">
      <w:r>
        <w:separator/>
      </w:r>
    </w:p>
  </w:footnote>
  <w:footnote w:type="continuationSeparator" w:id="0">
    <w:p w:rsidR="00FF1127" w:rsidRDefault="00FF1127">
      <w:r>
        <w:continuationSeparator/>
      </w:r>
    </w:p>
  </w:footnote>
  <w:footnote w:id="1">
    <w:p w:rsidR="006578FD" w:rsidRDefault="00FF1127" w:rsidP="00FF1127">
      <w:pPr>
        <w:pStyle w:val="a4"/>
        <w:ind w:firstLine="425"/>
        <w:jc w:val="both"/>
      </w:pPr>
      <w:r>
        <w:rPr>
          <w:iCs/>
          <w:sz w:val="18"/>
        </w:rPr>
        <w:t xml:space="preserve">* </w:t>
      </w:r>
      <w:r>
        <w:rPr>
          <w:i/>
          <w:sz w:val="18"/>
        </w:rPr>
        <w:t>Дарчиева А.Е., Мелконянц Н.Г.</w:t>
      </w:r>
      <w:r>
        <w:rPr>
          <w:iCs/>
          <w:sz w:val="18"/>
        </w:rPr>
        <w:t xml:space="preserve"> Определение экологической опасности рудообразующих минералов в полиметаллических месторождениях Садонского рудного поля//Материалы к годичному собранию ВМО. М., 2002. С.50-52.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127"/>
    <w:rsid w:val="00192AB2"/>
    <w:rsid w:val="0020570B"/>
    <w:rsid w:val="004B3D97"/>
    <w:rsid w:val="006578FD"/>
    <w:rsid w:val="00811DD4"/>
    <w:rsid w:val="00B80393"/>
    <w:rsid w:val="00FF01E9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2C4A15C-4757-4D24-AC62-6A96B777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2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1127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FF1127"/>
    <w:rPr>
      <w:sz w:val="20"/>
      <w:szCs w:val="20"/>
    </w:rPr>
  </w:style>
  <w:style w:type="character" w:styleId="a6">
    <w:name w:val="FollowedHyperlink"/>
    <w:basedOn w:val="a0"/>
    <w:uiPriority w:val="99"/>
    <w:rsid w:val="00FF1127"/>
    <w:rPr>
      <w:rFonts w:cs="Times New Roman"/>
      <w:color w:val="800080"/>
      <w:u w:val="single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F1127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1538</Words>
  <Characters>8767</Characters>
  <Application>Microsoft Office Word</Application>
  <DocSecurity>0</DocSecurity>
  <Lines>73</Lines>
  <Paragraphs>20</Paragraphs>
  <ScaleCrop>false</ScaleCrop>
  <Company>Home</Company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вещественного состава свинцово-цинковых руд и их влияние на экологическое равновесие на примере месторождений Буронского рудного поля</dc:title>
  <dc:subject/>
  <dc:creator>User</dc:creator>
  <cp:keywords/>
  <dc:description/>
  <cp:lastModifiedBy>admin</cp:lastModifiedBy>
  <cp:revision>2</cp:revision>
  <dcterms:created xsi:type="dcterms:W3CDTF">2014-02-20T01:42:00Z</dcterms:created>
  <dcterms:modified xsi:type="dcterms:W3CDTF">2014-02-20T01:42:00Z</dcterms:modified>
</cp:coreProperties>
</file>