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4F" w:rsidRPr="00363B06" w:rsidRDefault="0057624F" w:rsidP="0057624F">
      <w:pPr>
        <w:spacing w:before="120"/>
        <w:jc w:val="center"/>
        <w:rPr>
          <w:b/>
          <w:bCs/>
          <w:sz w:val="32"/>
          <w:szCs w:val="32"/>
        </w:rPr>
      </w:pPr>
      <w:r w:rsidRPr="00363B06">
        <w:rPr>
          <w:b/>
          <w:bCs/>
          <w:sz w:val="32"/>
          <w:szCs w:val="32"/>
        </w:rPr>
        <w:t>Понятие и содержание системы элементов механизма административно-правового регулирования</w:t>
      </w:r>
    </w:p>
    <w:p w:rsidR="0057624F" w:rsidRPr="0071020D" w:rsidRDefault="0057624F" w:rsidP="0057624F">
      <w:pPr>
        <w:spacing w:before="120"/>
        <w:jc w:val="center"/>
        <w:rPr>
          <w:sz w:val="28"/>
          <w:szCs w:val="28"/>
        </w:rPr>
      </w:pPr>
      <w:r w:rsidRPr="0071020D">
        <w:rPr>
          <w:sz w:val="28"/>
          <w:szCs w:val="28"/>
        </w:rPr>
        <w:t>B.C. Четвериков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Система элементов механизма административно-правового регулирования представляет собой совокупность элементов и правовых средств, взаимосвязанных и взаимозависимых и образуемых в информационно-правовое единство в целях упорядочивающего воздействия и устойчивого развития управленческих отношений в сфере деятельности органов исполнительной власти, государственного управления, администраций органов МСУ, уполномоченных должностных лиц и иных, регулируемых административными правовыми нормами управленческих отношениий, возникающих в государстве и обществе. В систему основных элементов механизма административно-правового регулирования следует включить: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1)</w:t>
      </w:r>
      <w:r>
        <w:t xml:space="preserve"> </w:t>
      </w:r>
      <w:r w:rsidRPr="00BA748B">
        <w:t>нормы административного права, регламентирующие принципы организации и деятельности органов исполнительной власти, государственного управления; формирование целей, постановки задач; определение функций, компетенции органов исполнительной власти, государственного управления, содержащиеся в Конституции РФ, федеральных конституционных и федеральных законах, указах Президента РФ, и постановлениях Правительства РФ, а также аналогичных нормативных актах на уровне субъектов РФ и других нормативных актах, принятых полномочными органами государственной власти и управления, а также администрациями органов местного самоуправления;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2)</w:t>
      </w:r>
      <w:r>
        <w:t xml:space="preserve"> </w:t>
      </w:r>
      <w:r w:rsidRPr="00BA748B">
        <w:t>акты толкования норм административного права, как правило, Конституционным Судом РФ, другими судебными органами, а также акты, разъясняющие практику применения вышестоящих актов управления, например, приказ Минюста России о разъяснения порядка регистрации нормативно-правовых актов, принятых ФОИВ, регламентированных указом Президента РФ «Об утверждении Правил подготовки нормативных правовых актов федеральных органов исполнительной власти и их государственная регистрация»;1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3)</w:t>
      </w:r>
      <w:r>
        <w:t xml:space="preserve"> </w:t>
      </w:r>
      <w:r w:rsidRPr="00BA748B">
        <w:t>индивидуальные акты, например, принятие указа Президента РФ о награждении ряда должностных лиц органов государственной власти орденами и медалями;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4) акты применения норм административного права, например, рассмотрение и принятие решения о наложении административного наказания на гражданина за административное правонарушение, на основании и в порядке, предусмотренном соответствующими нормами Кодекса РФ об административных правонарушениях (далее КоАП РФ).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Акты применения в отличие от обычных индивидуальных актов, реализуют юрисдикционные (подведомственные административно-властные, внесудебные) полномочия органа или должностного лица;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5)</w:t>
      </w:r>
      <w:r>
        <w:t xml:space="preserve"> </w:t>
      </w:r>
      <w:r w:rsidRPr="00BA748B">
        <w:t>административно-правовые отношения в сфере деятельности органов исполнительной власти, государственного управления — это, прежде всего, урегулированные нормами административного права полномочия, функции, задачи, права, обязанности и ответственность субъектов этих отношений, точнее правила поведение участников этих управленческих отношений.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К числу правовых средств механизма административно правового регулирования следует также отнести такие как: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• методическое руководство Минюста России над подразделениями юстиции в федеральных органах исполнительной власти по подготовке проектов нормативных актов;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• укрепление контроля над органами юстиции в субъектах РФ (особенно в республиках в составе России);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• укрепления централизованной системы прокурорского надзора за законностью в деятельности органов исполнительной власти (особенно в республиках в составе России);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• обеспечения условий для формирования достаточного уровня правосознания граждан и должностных лиц.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Все эти перечисленные правовые средства играют немаловажную роль в совершенствовании механизма системы административно-правового регулирования. Как правило, акты управления должны приниматься на основании законодательства, нормативных указов Президента РФ и постановлений Правительства РФ, но этого условия недостаточно.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Вторым условием является исполнение вышестоящих нормативно-правовых актов, то есть акты управления должны работать на цель, заложенную в законах, указах Президента РФ и постановлениях Правительства РФ, иными словами, проявлять инициативу во исполнение целей, сформулированных в вышеперечисленных нормативных актах.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Элементы системы механизма административно-правового регулирования в своей совокупности реализуют совершенно новые интеграционные свойства, оказывая при этом воздействие на управленческие отношения в сфере деятельности органов исполнительной власти, государственного управления, нежели оказываемое воздействие каждым из этих элементов механизма в отдельности.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Отдельный элемент механизма административно-правового регулирования выполняет свою специфическую роль в регулировании поведения субъектов управленческих отношений в сфере деятельности органов исполнительной власти, государственного управления. По своей сути эти элементы выступают в качестве юридических средств административно-правового</w:t>
      </w:r>
      <w:r>
        <w:t xml:space="preserve"> </w:t>
      </w:r>
      <w:r w:rsidRPr="00BA748B">
        <w:t>регулирования и других специфических управленческих отношений, возникающих в управленческой деятельности органов законодательной и судебной власти, органов местного самоуправления и других негосударственных управленческих отношений, связанных с реализацией государственных функций.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Сам процесс административно-правового регулирования представляет собой некоторый алгоритм последовательного воздействия правовых методов и средств для достижения целей регулирования поведения участников управленческих отношений в сфере деятельности органов исполнительной власти, государственного управления.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Актуальным правовым средством в системе механизма административно-правового регулирования следует считать принятый указ Президента РФ «Об утверждении Правил подготовки нормативных правовых актов федеральными органами исполнительной власти и их государственная регистрация». Поели анализа практики нормотворчества федеральных органов исполнительной власти был принят 14 июля 1999 г. приказ Минюста России №217 «Об утверждении Разъяснений о применении «Правил подготовки нормативных правовых актов федеральными органами исполнительной власти и их государственной регистрации». Как было указано выше, это является примером официального разъяснения целей и задач вышестоящего акта управления.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Нормативно-правовые акты федеральных органов исполнительной власти (далее ФОИВ) издаются на основе и во исполнение федеральных законов, указов и распоряжений Президента РФ, постановлений и распоряжений Правительства РФ, а также по собственной инициативе ФОИВ в пределах своей компетенции. Нормативно-правовые акты издаются ФОИВ в виде постановлений, приказов, распоряжений, правил, инструкций и положений. Не могут быть нормативно-правовые акты в виде писем и телеграмм. Структурные подразделения и территориальные органы ФОИВ не вправе издавать нормативно-правовые акты. Нормативно-правовые акты могут быть изданы совместно несколькими ФОИВ или одним при согласовании с другими. Визы согласований проставляются уполномоченными должностными лицами на обороте подлинника внизу последнего листа текста документа.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Подготовленный нормативно-правовой акт ФОИВ должен иметь следующие реквизиты: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• наименование органа, его издавшего;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• наименование вида акта и его название;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• дата утверждения и его номер;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• наименование должности и ФИО подписавшего акт лица. Регистрации подлежат все нормативно-правовые акты, затрагивающие права, свободы и обязанности человека и гражданина или имеющие межведомственный характер, кроме сведений, представляющих государственную и конфеденциальную тайну. Регистрация в Минюсте РФ включает следующие операции: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• принятие решения о необходимости государственной регистрации;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• присвоение регистрационного номера;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• занесение в Государственный реестр нормативно-правовых актов ФОИВ.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Через 5 дней со дня утверждения 4 экз. (подлинник и 3 копии) поступают в Минюст России.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К нормативно-правовому акту прилагается: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• основание его издания;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• сведения об остальных актах по этому вопросу и сроки приведения их в соответствие с принятым;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• визы согласования с заинтересованными ФОИВ;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• виза руководителя юридической службы ФОИВ, издавшего акт.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В результате анализа срок государственной регистрации нормативно-правовых актов в Минюсте РФ 15 дней, он может быть продлен не более чем на 10 дней. В течение суток после государственной регистрации подлинник нормативно-правового акта с присвоенным номером регистрации направляется Минюстом России в ФОИВ, его приславший. Копия направляется в «Российские вести и издательство «Юридическая литература» для опубликования в течение 10 дней, если не указан другой срок вступления в силу.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Целям более успешной реализации этих правовых средств административно-правового регулирования служит также принятый указ Президента РФ от 2 мая 1966 г. «О мерах по развитию органов юстиции Российской Федерации». В связи с этим указом Министр юстиции впервые воспользовался своим правом вносить представления Президенту РФ о привлечении к ответственности должностных лиц по фактам неисполнения или ненадлежащего исполнения Конституции РФ, федеральных законов, указов и распоряжений Президента РФ, постановлений и распоряжений Правительства РФ.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Налажена правовая экспертиза нормативно-правовых актов, принятых субъектов федерации, на акты противоречащие</w:t>
      </w:r>
      <w:r>
        <w:t xml:space="preserve"> </w:t>
      </w:r>
      <w:r w:rsidRPr="00BA748B">
        <w:t>российскому законодательству, материалы передаются в Генеральную прокуратуру РФ для принятия соответствующих мер. Однако при нынешней системе подчиненности-прокуроров субъектов федерации (особенно в республиках) это средство механизма административно-правового регулирования не достаточно эффективно. При этом было отмечено, что органы юстиции и иные уполномоченные государственные органы слабо реагируют на допускаемые нарушения, ограничиваясь лишь сбором информации о подобных фактах. Полномочными представителями Президента РФ, введенными 13 мая 2000 г. Указом Президента РФ «О полномочном представителе Президента РФ в Федеральном округе» было образовано 7 Федеральных округов, которые к концу 2000 г. выявили более 6 тысяч местных законодательных актов, не соответствующих федеральным законам и Конституции РФ. В 2001 институт полномочных представителей совместно с Генеральной прокуратурой РФ выявили более трех с половиной тысяч нормативных актов, принятых в субъектах РФ, не соответствующих Конституции и федеральным законам, четыре пятых из них приведены в соответствие с федеральным законодательством. Положительную роль имело постановление Правительства РФ от 29.10.2000 г. «Об утверждении положения о порядке ведения федерального регистра нормативно-правовых актов субъектов РФ».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Особое значение в системе элементов механизма административно-правового регулирования занимает правосознание граждан, методы убеждения и административного принуждения. Правосознание как совокупность идей, взглядов, мнений, выражающих определенные отношения людей, их социальных групп к нормам права, правоприменительной деятельности, законности, правосудию, их мнения о правомерности или неправомерности этих видов юридических отношений. Основой правосознания является конкретная правовая идеология как носитель правовых взглядов, опирающихся на определенные научные позиции. Взаимосвязь правосознания и права имеет комплексный характер. Правосознание, с одной стороны, предшествует праву, так как психологически опирается на привычки, чувства и эмоции людей сложившиеся до действия норм права. С другой стороны, сложившаяся в обществе правовая система, является одним из важнейших факторов, воздействующих на правосознание людей.</w:t>
      </w:r>
    </w:p>
    <w:p w:rsidR="0057624F" w:rsidRPr="00BA748B" w:rsidRDefault="0057624F" w:rsidP="0057624F">
      <w:pPr>
        <w:spacing w:before="120"/>
        <w:ind w:firstLine="567"/>
        <w:jc w:val="both"/>
      </w:pPr>
      <w:r w:rsidRPr="00BA748B">
        <w:t>Уровень правосознания субъектов управленческих отношений влияет на состояние дисциплины и законности в сфере деятельности исполнительной власти, государственного управления. Однако правосознание можно условно рассматривать как самостоятельный элемент механизма административно-правового регулирования, так как оно, прежде всего, реализуется в административно-правовых отношениях конкретных субъектов исполнительной власти, государственного управления, администраций органов МСУ.</w:t>
      </w:r>
    </w:p>
    <w:p w:rsidR="0057624F" w:rsidRDefault="0057624F" w:rsidP="0057624F">
      <w:pPr>
        <w:spacing w:before="120"/>
        <w:ind w:firstLine="567"/>
        <w:jc w:val="both"/>
      </w:pPr>
      <w:r w:rsidRPr="00BA748B">
        <w:t>Ранее считалось, что антагонизм существует только в классовом обществе, однако на практике это явление имеет более сложный характер. Метод убеждения является основным методом добровольного и добросовестного исполнения гражданами своих обязанностей в сфере управленческих отношений, без каких-либо угрожающих санкций за невыполнение норм и правил поведения, регламентированных административно-правовыми нормами. Однако для меньшей части физических и юридических лиц, не выполняющих требования норм, могут быть применены административно-правовые меры принуждения.</w:t>
      </w:r>
    </w:p>
    <w:p w:rsidR="0057624F" w:rsidRDefault="0057624F">
      <w:bookmarkStart w:id="0" w:name="_GoBack"/>
      <w:bookmarkEnd w:id="0"/>
    </w:p>
    <w:sectPr w:rsidR="0057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24F"/>
    <w:rsid w:val="00363B06"/>
    <w:rsid w:val="00364376"/>
    <w:rsid w:val="0057624F"/>
    <w:rsid w:val="00666FA6"/>
    <w:rsid w:val="006C156E"/>
    <w:rsid w:val="0071020D"/>
    <w:rsid w:val="007513F0"/>
    <w:rsid w:val="00BA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4AB149-994C-48CF-A485-331AD963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24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6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1845</Words>
  <Characters>10521</Characters>
  <Application>Microsoft Office Word</Application>
  <DocSecurity>0</DocSecurity>
  <Lines>87</Lines>
  <Paragraphs>24</Paragraphs>
  <ScaleCrop>false</ScaleCrop>
  <Company>Home</Company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содержание системы элементов механизма административно-правового регулирования</dc:title>
  <dc:subject/>
  <dc:creator>Alena</dc:creator>
  <cp:keywords/>
  <dc:description/>
  <cp:lastModifiedBy>admin</cp:lastModifiedBy>
  <cp:revision>2</cp:revision>
  <dcterms:created xsi:type="dcterms:W3CDTF">2014-02-19T16:18:00Z</dcterms:created>
  <dcterms:modified xsi:type="dcterms:W3CDTF">2014-02-19T16:18:00Z</dcterms:modified>
</cp:coreProperties>
</file>