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99" w:rsidRPr="00C0510E" w:rsidRDefault="00A44299" w:rsidP="00A44299">
      <w:pPr>
        <w:spacing w:before="120"/>
        <w:jc w:val="center"/>
        <w:rPr>
          <w:rFonts w:ascii="Times New Roman" w:hAnsi="Times New Roman"/>
          <w:b/>
          <w:sz w:val="32"/>
        </w:rPr>
      </w:pPr>
      <w:r w:rsidRPr="00C0510E">
        <w:rPr>
          <w:rFonts w:ascii="Times New Roman" w:hAnsi="Times New Roman"/>
          <w:b/>
          <w:sz w:val="32"/>
        </w:rPr>
        <w:t>Прагмалингвистические основы межкультурной коммуникации</w:t>
      </w:r>
    </w:p>
    <w:p w:rsidR="00A44299" w:rsidRPr="00C0510E" w:rsidRDefault="00A44299" w:rsidP="00A44299">
      <w:pPr>
        <w:spacing w:before="120"/>
        <w:jc w:val="center"/>
        <w:rPr>
          <w:rFonts w:ascii="Times New Roman" w:hAnsi="Times New Roman"/>
          <w:sz w:val="28"/>
        </w:rPr>
      </w:pPr>
      <w:r w:rsidRPr="00C0510E">
        <w:rPr>
          <w:rFonts w:ascii="Times New Roman" w:hAnsi="Times New Roman"/>
          <w:sz w:val="28"/>
        </w:rPr>
        <w:t>В.И. Заботкина</w:t>
      </w:r>
    </w:p>
    <w:p w:rsidR="00A44299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Рассматриваются прагмалингвистические основы межкультурной коммуникации. Анализируется взаимодействие между общекультурным и дейктическим уровнями широкого прагматического контекста в соотнесенности с универсальными и культурно-специфическими особенностями коммуникации.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Для успешного контакта двух культур необходимо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две системы знаний либо полностью совпадали (что является исключительным случаем)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либо имели tertium comparationis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либо были переводимы одна в другую. Нам представляется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качестве tertium comparationis межкультурного общения может выступать широкий прагматический контекст. Успешная межкультурная коммуникация предполагает сознание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совместное знание. Это в значительной степени продукт социализации человека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усвоения им хранимого языком общественного опыта [1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26].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Понятие «контекст» в прагмалингвистике включает различные аспекты: вербальный и невербальный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историко-культурный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психологический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социальный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д. Понятие контекста реализуется в виде дискурса как определенной последовательности речевых актов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связанных в глобальные и локальные текстовые структуры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виде «фонового знания о мире»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организованного посредством фреймов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сценариев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хранящихся в семантической памяти индивида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д. [4].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Как видно из сказанного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контекст в понимании прагмалингвистов не является понятием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соотносимым только с текстом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служит для обозначения условий коммуникации. Именно в этом значении и будет далее употребляться этот термин.</w:t>
      </w:r>
    </w:p>
    <w:p w:rsidR="00A44299" w:rsidRPr="00D95230" w:rsidRDefault="0086130F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style="position:absolute;left:0;text-align:left;margin-left:127.05pt;margin-top:724.85pt;width:342pt;height:34.35pt;z-index:251657728;mso-position-horizontal-relative:page;mso-position-vertical-relative:page" coordorigin="2540,14617" coordsize="6840,687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51;top:14751;width:6803;height:553" filled="f" stroked="f">
              <v:textbox style="mso-next-textbox:#_x0000_s1027" inset="0,0,0,0">
                <w:txbxContent>
                  <w:p w:rsidR="00A44299" w:rsidRDefault="00A44299" w:rsidP="00A44299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Вестник РГУ им. И. Канта. 2006. Вып. 2. </w:t>
                    </w:r>
                    <w:r>
                      <w:rPr>
                        <w:i/>
                        <w:iCs/>
                        <w:sz w:val="18"/>
                      </w:rPr>
                      <w:t>Филологические науки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. С. 47—52.</w:t>
                    </w:r>
                  </w:p>
                </w:txbxContent>
              </v:textbox>
            </v:shape>
            <v:line id="_x0000_s1028" style="position:absolute" from="2540,14617" to="9380,14617"/>
            <w10:wrap anchorx="page" anchory="page"/>
          </v:group>
        </w:pict>
      </w:r>
      <w:r w:rsidR="00A44299" w:rsidRPr="00D95230">
        <w:rPr>
          <w:rFonts w:ascii="Times New Roman" w:hAnsi="Times New Roman"/>
          <w:sz w:val="24"/>
        </w:rPr>
        <w:t>Один из методологических принципов</w:t>
      </w:r>
      <w:r w:rsidR="00A44299">
        <w:rPr>
          <w:rFonts w:ascii="Times New Roman" w:hAnsi="Times New Roman"/>
          <w:sz w:val="24"/>
        </w:rPr>
        <w:t xml:space="preserve">, </w:t>
      </w:r>
      <w:r w:rsidR="00A44299" w:rsidRPr="00D95230">
        <w:rPr>
          <w:rFonts w:ascii="Times New Roman" w:hAnsi="Times New Roman"/>
          <w:sz w:val="24"/>
        </w:rPr>
        <w:t>о которых мы всегда должны помнить</w:t>
      </w:r>
      <w:r w:rsidR="00A44299">
        <w:rPr>
          <w:rFonts w:ascii="Times New Roman" w:hAnsi="Times New Roman"/>
          <w:sz w:val="24"/>
        </w:rPr>
        <w:t xml:space="preserve">, </w:t>
      </w:r>
      <w:r w:rsidR="00A44299" w:rsidRPr="00D95230">
        <w:rPr>
          <w:rFonts w:ascii="Times New Roman" w:hAnsi="Times New Roman"/>
          <w:sz w:val="24"/>
        </w:rPr>
        <w:t>пишет Т. Ван Дейк</w:t>
      </w:r>
      <w:r w:rsidR="00A44299">
        <w:rPr>
          <w:rFonts w:ascii="Times New Roman" w:hAnsi="Times New Roman"/>
          <w:sz w:val="24"/>
        </w:rPr>
        <w:t xml:space="preserve">, </w:t>
      </w:r>
      <w:r w:rsidR="00A44299" w:rsidRPr="00D95230">
        <w:rPr>
          <w:rFonts w:ascii="Times New Roman" w:hAnsi="Times New Roman"/>
          <w:sz w:val="24"/>
        </w:rPr>
        <w:t>заключается в том</w:t>
      </w:r>
      <w:r w:rsidR="00A44299">
        <w:rPr>
          <w:rFonts w:ascii="Times New Roman" w:hAnsi="Times New Roman"/>
          <w:sz w:val="24"/>
        </w:rPr>
        <w:t xml:space="preserve">, </w:t>
      </w:r>
      <w:r w:rsidR="00A44299" w:rsidRPr="00D95230">
        <w:rPr>
          <w:rFonts w:ascii="Times New Roman" w:hAnsi="Times New Roman"/>
          <w:sz w:val="24"/>
        </w:rPr>
        <w:t>что понятие прагматического контекста является теоретической и когнитивной абстракцией разнообразных физико-биологических и прочих ситуаций [2</w:t>
      </w:r>
      <w:r w:rsidR="00A44299">
        <w:rPr>
          <w:rFonts w:ascii="Times New Roman" w:hAnsi="Times New Roman"/>
          <w:sz w:val="24"/>
        </w:rPr>
        <w:t xml:space="preserve">, </w:t>
      </w:r>
      <w:r w:rsidR="00A44299" w:rsidRPr="00D95230">
        <w:rPr>
          <w:rFonts w:ascii="Times New Roman" w:hAnsi="Times New Roman"/>
          <w:sz w:val="24"/>
        </w:rPr>
        <w:t>с. 19]. Необходимо отметить</w:t>
      </w:r>
      <w:r w:rsidR="00A44299">
        <w:rPr>
          <w:rFonts w:ascii="Times New Roman" w:hAnsi="Times New Roman"/>
          <w:sz w:val="24"/>
        </w:rPr>
        <w:t xml:space="preserve">, </w:t>
      </w:r>
      <w:r w:rsidR="00A44299" w:rsidRPr="00D95230">
        <w:rPr>
          <w:rFonts w:ascii="Times New Roman" w:hAnsi="Times New Roman"/>
          <w:sz w:val="24"/>
        </w:rPr>
        <w:t>что типизированный прагматический контекст является структурированным. В нем можно выделить несколько подтипов.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Мы признаем три разновидности прагматического контекста: 1)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дейктический контекст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включающий в себя: а) отношения говорящего и слушающего (цели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вид речевого акта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социальный статус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общие взаимообязательства)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б) дейксис речевой ситуации: я и 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здесь и там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сейчас и тогда; 2) общий дискурсивный (текстовой) контекст — знания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разделяемые говорящими и слушающими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полученные из предшествующего текста (дискурса); 3) общекультурный контекст — общие знания о физической и культурной вселенной. Данные знания могут быть зафиксированы (закодированы) в конвенциональных нормах поведения и общения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в лексиконе определенного общества [10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324].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Мы полагаем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все три вида контекста образуют иерархию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 верхней ступени которой находится общекультурный контекст. Он пронизывает как дейктический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дискурсивный контексты.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Рассмотрение культурного контекста с неизбежностью предполагает обращение к проблеме универсального и специфического в культуре. Данный вопрос уходит корнями в проблему соотношения сознания и языка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впервые поставленную Аристотелем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рассуждает об универсальности отношений между миром и сознанием и отсутствием универсальности в отношении между сознанием и языком. В более поздние времена сторонники феноменологического подхода говорили об универсальности содержания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скрытом в любой частной культуре. Они исходили при этом либо из утверждения об универсальности структур сознания (Гуссерль)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либо из постулата о психологическом единстве человечества (Юнг)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 xml:space="preserve">либо из уверенности в наличии некоего фундаментального </w:t>
      </w:r>
      <w:r w:rsidRPr="00D95230">
        <w:rPr>
          <w:rFonts w:ascii="Times New Roman" w:hAnsi="Times New Roman"/>
          <w:sz w:val="24"/>
        </w:rPr>
        <w:lastRenderedPageBreak/>
        <w:t>основания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осевой «изначальности»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отношению к которым все ее разновидности лишь частности или шифры (Хайдегер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Ясперс).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Этот взгляд был оспорен Гердером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предложившим антропологическое понимание культуры и заявившим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нет ничего более ошибочного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чем употребление термина «культура» по отношению ко всем временам и народам. (В интерпретации современных социолингвистов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исходящих из данного определения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каждое общество имеет свою собственную культуру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различные подгруппы общества могут иметь свою собственную субкультуру). Данная точка зрения характерна для многих немецких романтиков и известна каждому лингвисту благодаря работам В. фон Гумбольдта о языке как особом мировидении (ср. с термином «гений языка» у французских лингвистов). Позже эти идеи были развиты в теориях культурологов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антропологов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занимающихся анализом контактов культур — Б. Малиновского [12]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Кребера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Уорфа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E. Сэпира [14]. Работы этих ученых были насквозь пронизаны функционализмом и тем самым заложили основы современной прагматической интерпретации культурного контекста.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Вернемся к нашему постулату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культурный контекст определяет дейктический и дискурсивный контексты.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результатам исследования Д. Тэнэн (Tannen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1986)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культура определяет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говорить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говорить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какой скоростью говорить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и как долго делать паузы в разговоре. В основе всех этих прагматически релевантных черт коммуникации лежат культурные стереотипы. В разных культурах определенные черты дейктического контекста выстраиваются в различные иерархии. 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японской культурной традиции на верхней ступени иерархии находится социальный статус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именно он определяет выбор тональности ситуации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регистра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стиля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Особенности культурного контекста определяют нередко и специфику построения дискурса. 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K. Каплан [11] приходит к выводу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разных культурах существуют различные традиции построения абзаца. Эти различия представлены графически: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59"/>
        <w:gridCol w:w="3473"/>
        <w:gridCol w:w="3522"/>
      </w:tblGrid>
      <w:tr w:rsidR="00A44299" w:rsidRPr="00D95230" w:rsidTr="000445E2">
        <w:tc>
          <w:tcPr>
            <w:tcW w:w="1451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762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Семитские языки</w:t>
            </w:r>
          </w:p>
        </w:tc>
        <w:tc>
          <w:tcPr>
            <w:tcW w:w="1787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Восточные языки</w:t>
            </w:r>
          </w:p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</w:p>
        </w:tc>
      </w:tr>
      <w:tr w:rsidR="00A44299" w:rsidRPr="00D95230" w:rsidTr="000445E2">
        <w:tc>
          <w:tcPr>
            <w:tcW w:w="1451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02.75pt">
                  <v:imagedata r:id="rId4" o:title="" gain="297891f" blacklevel="-19660f" grayscale="t"/>
                </v:shape>
              </w:pict>
            </w:r>
          </w:p>
        </w:tc>
        <w:tc>
          <w:tcPr>
            <w:tcW w:w="1762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shape id="_x0000_i1026" type="#_x0000_t75" style="width:120pt;height:99pt">
                  <v:imagedata r:id="rId5" o:title="" gain="1.5625" blacklevel="-1966f" grayscale="t"/>
                </v:shape>
              </w:pict>
            </w:r>
          </w:p>
        </w:tc>
        <w:tc>
          <w:tcPr>
            <w:tcW w:w="1787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shape id="_x0000_i1027" type="#_x0000_t75" style="width:131.25pt;height:98.25pt">
                  <v:imagedata r:id="rId6" o:title="" gain="6.25" blacklevel="-19660f" grayscale="t"/>
                </v:shape>
              </w:pict>
            </w:r>
          </w:p>
        </w:tc>
      </w:tr>
      <w:tr w:rsidR="00A44299" w:rsidRPr="00D95230" w:rsidTr="000445E2">
        <w:tc>
          <w:tcPr>
            <w:tcW w:w="1451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Романские языки</w:t>
            </w:r>
          </w:p>
        </w:tc>
        <w:tc>
          <w:tcPr>
            <w:tcW w:w="1762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Русский язык</w:t>
            </w:r>
          </w:p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</w:p>
        </w:tc>
      </w:tr>
      <w:tr w:rsidR="00A44299" w:rsidRPr="00D95230" w:rsidTr="000445E2">
        <w:tc>
          <w:tcPr>
            <w:tcW w:w="1451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shape id="_x0000_i1028" type="#_x0000_t75" style="width:59.25pt;height:57pt">
                  <v:imagedata r:id="rId7" o:title="" gain="2.5" blacklevel="-7864f" grayscale="t"/>
                </v:shape>
              </w:pict>
            </w:r>
          </w:p>
        </w:tc>
        <w:tc>
          <w:tcPr>
            <w:tcW w:w="1762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shape id="_x0000_i1029" type="#_x0000_t75" style="width:75pt;height:49.5pt">
                  <v:imagedata r:id="rId8" o:title="" gain="192753f" blacklevel="-9830f" grayscale="t"/>
                </v:shape>
              </w:pict>
            </w:r>
          </w:p>
        </w:tc>
      </w:tr>
    </w:tbl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Эти различия необходимо учитывать при переводе с языка на язык.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Аналогично культурный контекст определяет выбор интеллектуального стиля или регистра в различных культурах. 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Галтунг [9] выделяет тевтонский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саксонский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галльский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японский стили и представляет их различия графически: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12"/>
        <w:gridCol w:w="2328"/>
        <w:gridCol w:w="2586"/>
        <w:gridCol w:w="2328"/>
      </w:tblGrid>
      <w:tr w:rsidR="00A44299" w:rsidRPr="00D95230" w:rsidTr="000445E2">
        <w:trPr>
          <w:jc w:val="center"/>
        </w:trPr>
        <w:tc>
          <w:tcPr>
            <w:tcW w:w="1326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саксонский</w:t>
            </w:r>
          </w:p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тевтонский</w:t>
            </w:r>
          </w:p>
        </w:tc>
        <w:tc>
          <w:tcPr>
            <w:tcW w:w="1312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галльский</w:t>
            </w:r>
          </w:p>
        </w:tc>
        <w:tc>
          <w:tcPr>
            <w:tcW w:w="1181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 xml:space="preserve"> японский</w:t>
            </w:r>
          </w:p>
        </w:tc>
      </w:tr>
      <w:tr w:rsidR="00A44299" w:rsidRPr="00D95230" w:rsidTr="000445E2">
        <w:trPr>
          <w:trHeight w:val="969"/>
          <w:jc w:val="center"/>
        </w:trPr>
        <w:tc>
          <w:tcPr>
            <w:tcW w:w="1326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pict>
                <v:shape id="_x0000_i1030" type="#_x0000_t75" style="width:67.5pt;height:43.5pt">
                  <v:imagedata r:id="rId9" o:title="" gain="192753f" blacklevel="-11796f" grayscale="t"/>
                </v:shape>
              </w:pict>
            </w:r>
          </w:p>
        </w:tc>
        <w:tc>
          <w:tcPr>
            <w:tcW w:w="1181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shape id="_x0000_i1031" type="#_x0000_t75" style="width:59.25pt;height:43.5pt">
                  <v:imagedata r:id="rId10" o:title="" gain="297891f" blacklevel="-15728f" grayscale="t"/>
                </v:shape>
              </w:pict>
            </w:r>
          </w:p>
        </w:tc>
        <w:tc>
          <w:tcPr>
            <w:tcW w:w="1312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shape id="_x0000_i1032" type="#_x0000_t75" style="width:60pt;height:46.5pt">
                  <v:imagedata r:id="rId11" o:title="" gain="297891f" blacklevel="-15728f" grayscale="t"/>
                </v:shape>
              </w:pict>
            </w:r>
          </w:p>
        </w:tc>
        <w:tc>
          <w:tcPr>
            <w:tcW w:w="1181" w:type="pct"/>
          </w:tcPr>
          <w:p w:rsidR="00A44299" w:rsidRPr="00D95230" w:rsidRDefault="0086130F" w:rsidP="0004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shape id="_x0000_i1033" type="#_x0000_t75" style="width:60pt;height:43.5pt">
                  <v:imagedata r:id="rId12" o:title="" gain="25" blacklevel="-29490f" grayscale="t"/>
                </v:shape>
              </w:pict>
            </w:r>
          </w:p>
        </w:tc>
      </w:tr>
      <w:tr w:rsidR="00A44299" w:rsidRPr="00D95230" w:rsidTr="000445E2">
        <w:trPr>
          <w:jc w:val="center"/>
        </w:trPr>
        <w:tc>
          <w:tcPr>
            <w:tcW w:w="1326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 xml:space="preserve">(небольшие </w:t>
            </w:r>
          </w:p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теории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D95230">
              <w:rPr>
                <w:rFonts w:ascii="Times New Roman" w:hAnsi="Times New Roman"/>
                <w:sz w:val="24"/>
              </w:rPr>
              <w:t xml:space="preserve">ориентированные </w:t>
            </w:r>
          </w:p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на эмпирические данные)</w:t>
            </w:r>
          </w:p>
        </w:tc>
        <w:tc>
          <w:tcPr>
            <w:tcW w:w="1181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грандиозные</w:t>
            </w:r>
          </w:p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теории</w:t>
            </w:r>
          </w:p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2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 xml:space="preserve">(в балансе) </w:t>
            </w:r>
          </w:p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между грандиозными теориями и эмпирическими данными</w:t>
            </w:r>
          </w:p>
        </w:tc>
        <w:tc>
          <w:tcPr>
            <w:tcW w:w="1181" w:type="pct"/>
          </w:tcPr>
          <w:p w:rsidR="00A44299" w:rsidRPr="00D95230" w:rsidRDefault="00A44299" w:rsidP="000445E2">
            <w:pPr>
              <w:rPr>
                <w:rFonts w:ascii="Times New Roman" w:hAnsi="Times New Roman"/>
                <w:sz w:val="24"/>
              </w:rPr>
            </w:pPr>
            <w:r w:rsidRPr="00D95230">
              <w:rPr>
                <w:rFonts w:ascii="Times New Roman" w:hAnsi="Times New Roman"/>
                <w:sz w:val="24"/>
              </w:rPr>
              <w:t>(диффузное соединение)</w:t>
            </w:r>
          </w:p>
        </w:tc>
      </w:tr>
    </w:tbl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Английский язык является типичным представителем саксонского стиля научной аргументации; немецкий — тевтонского.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контекст в прагмалингвистике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являющийся своего рода индексом координат для говорящих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представляет собой сложную иерархическую структурированную категорию.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Понятие культурного контекста не является одномерным. В соответствии с представлением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утвердившимся в антропологии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для каждой культуры (субкультуры) существует иерархически организованный набор ценностей или категорий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могут повторяться в других культурах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в другой конфигурации [3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139].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Правильность данного положения подтверждается нашим анализом картины мира англоязычного общества последних десятилетий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свидетельствует о появлении новых и расширении традиционных субкультур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 своими системами ценностных ориентаций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стереотипизации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такое хорошо и что такое плохо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 своей системой стандартов. В разных субкультурах по-разному происходит хранение знаний о поведенческих и коммуникативных нормах. Каждая субкультура имеет свои стереотипизированные образцы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модели концептуализации мира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концептуализации ситуаций общения. Различия субкультур идут как по линии концептуальной картины мира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по линии ценностной картины миры со своей системой стереотипизированных образцов концептуализации оценок. В основе ценностной картины каждой конкретной культуры лежит своя система гештальтов. Все указанные различия находят отражение на уровне лексикона. При этом один и тот же фрагмент в картине мира по-разному концептуализируется и ословливается представителями различных субкультур.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Обычно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говорят о специфике культуры определенного языкового сообщества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имеют в виду национальную специфику. Среди факторов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формирующих уникальность национального сознания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обычно указывают на исторически сложившиеся экономические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общественно-политические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географические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климатические и физико-антропологические особенности людей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принадлежащих к данной национальной культуре [3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139].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настоящий момент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происходит коммуникативное и культурное сближение наций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вернее будет говорить об изменении в иерархии прагматических параметров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определяющих специфичность культуры. Национальный параметр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по логике вещей должен занимать высшую ступень в этой иерархии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правило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сочетается с такими параметрами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социальный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профессиональный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возрастной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гендерный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этнический. В результате одинаковые субкультуры в разных национальных сообществах имеют одинаковые прагматические нормы. Именно в этом проявляется связь культурного и дейктического контекстов.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можно говорить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каждый индивид имеет свою систему ценностных ориентаций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стереотипов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стандартов и идеалов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свою картину мира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определяемую уровнем его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свой собственный идеолект. Он впитывает в себя стереотипы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стандарты и ценностные ориентиры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принятые в тех подгруппах общества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которые он входит.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Каждый язык окрашивает через систему своих значений и их ассоциаций концептуальную модель мира в национально-культурные цвета [6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176].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Присущая языку национально-культурная семантика является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одной стороны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продуктом коммуляции сведений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в этом случае можно говорить о культурнонакопительной (или культуроносной) функции языка; с другой стороны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язык сам приобщает своих носителей к своей национальной культуре — такова его культуроприобщающая функция [1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26].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Наконец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общенациональная культура народа входит в общечеловеческую культуру с универсальными представлениями о добре и зле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любви и ненависти.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Во всех человеческих культурах существуют общие концепты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мнению Ю.С. Степанова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некий концепт «приветствия»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общий для человеческой культуры вообще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отношению к которому сравниваемые разнокультурные жесты являются различными реализациями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воплощениями [5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284].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можно говорить о реальности общечеловеческой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зависящей от генетических и прочих индивидуальных черт различных культур. В подтверждение этого Ю.С. Степанов приводит высказывание основоположников христианства: «Нет иудея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ни эллина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нет раба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ни свободного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ни мужчины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ни женщины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ибо все вы — одно во Христе Иисусе [Ап. Павел. К Галатам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28 — цит. по: 5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284].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Слово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являясь частью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фиксирует отражение реального мира и несет в себе определенный культурный код.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этой связи хотелось бы напомнить высказывание Фридриха Шлегеля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«различные эпохи в древнейшем языковом созидании образуют именно различные ступени культуры в процессе развития человеческого духа. И язык вообще как нить воспоминания и традиции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соединяющая все народы друг с другом в их последовательности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это как бы общая память и великий орган воспоминания всего человеческого рода» [7].</w:t>
      </w:r>
    </w:p>
    <w:p w:rsidR="00A44299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диалектическое взаимодействие универсального и специфического в культуре выражается в значении слова. Универсально значение языкового знака в том смысле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он соотнесен с некоторым фрагментом реального мира 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независимо от способа соотнесения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несет в себе знание об этом фрагменте. Однако универсальность «разворачивается» на фоне специфического культурного фрагмента значения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которое определяет способ реализации знания о мире.</w:t>
      </w:r>
    </w:p>
    <w:p w:rsidR="00A44299" w:rsidRPr="00C0510E" w:rsidRDefault="00A44299" w:rsidP="00A44299">
      <w:pPr>
        <w:spacing w:before="120"/>
        <w:jc w:val="center"/>
        <w:rPr>
          <w:rFonts w:ascii="Times New Roman" w:hAnsi="Times New Roman"/>
          <w:b/>
          <w:sz w:val="28"/>
        </w:rPr>
      </w:pPr>
      <w:r w:rsidRPr="00C0510E">
        <w:rPr>
          <w:rFonts w:ascii="Times New Roman" w:hAnsi="Times New Roman"/>
          <w:b/>
          <w:sz w:val="28"/>
        </w:rPr>
        <w:t>Список литературы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Верещагин Е.М.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Кастомаров В.Г. Язык и культура. М.: Индрик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2005. С. 26.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Дейк Т.А. Язык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познание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коммуникация. М.: Прогресс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1989.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Пацаева М.А. К проблеме национально-культурной специфике значения слова // Семантико-прагматические и социолингвистические аспекты изучения языка.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1990.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Петров В.П. От философии языка к философии сознания: Новые тенденции и их истоки // Философия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логика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язык. М.: Прогресс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1987. С. 4—20.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Степанов Ю.С. В трехмерном пространстве языка.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1985.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Телия В.Н. Метафора как модель словопроизводства и ее экспрессивно-оценочная функция // Метафора в языке и тексте. М.: Наука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1990.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Шлегель Ф. Философия языка и слова // Эстетика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философия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критика. М</w:t>
      </w:r>
      <w:r w:rsidRPr="00D95230">
        <w:rPr>
          <w:rFonts w:ascii="Times New Roman" w:hAnsi="Times New Roman"/>
          <w:sz w:val="24"/>
          <w:lang w:val="en-US"/>
        </w:rPr>
        <w:t xml:space="preserve">.: </w:t>
      </w:r>
      <w:r w:rsidRPr="00D95230">
        <w:rPr>
          <w:rFonts w:ascii="Times New Roman" w:hAnsi="Times New Roman"/>
          <w:sz w:val="24"/>
        </w:rPr>
        <w:t>Искусство</w:t>
      </w:r>
      <w:r w:rsidRPr="00D95230">
        <w:rPr>
          <w:rFonts w:ascii="Times New Roman" w:hAnsi="Times New Roman"/>
          <w:sz w:val="24"/>
          <w:lang w:val="en-US"/>
        </w:rPr>
        <w:t xml:space="preserve">, 1983. </w:t>
      </w:r>
      <w:r w:rsidRPr="00D95230">
        <w:rPr>
          <w:rFonts w:ascii="Times New Roman" w:hAnsi="Times New Roman"/>
          <w:sz w:val="24"/>
        </w:rPr>
        <w:t>С</w:t>
      </w:r>
      <w:r w:rsidRPr="00D95230">
        <w:rPr>
          <w:rFonts w:ascii="Times New Roman" w:hAnsi="Times New Roman"/>
          <w:sz w:val="24"/>
          <w:lang w:val="en-US"/>
        </w:rPr>
        <w:t>. 364.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8. Dijk T.A. van. Text and context: explorations in the semantics and pragmatics of discourse.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London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 </w:t>
        </w:r>
        <w:smartTag w:uri="urn:schemas-microsoft-com:office:smarttags" w:element="State">
          <w:r w:rsidRPr="00D95230">
            <w:rPr>
              <w:rFonts w:ascii="Times New Roman" w:hAnsi="Times New Roman"/>
              <w:sz w:val="24"/>
              <w:lang w:val="en-US"/>
            </w:rPr>
            <w:t>New York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: Longman, 1980. 261 p.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9. Galtung J. Papers on methodology. Theory and methods of social science research, № 2,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Copenhagen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, Ejles, 1979.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10. Givon T. Mind, code and context. Essays in Pragmatics.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Hillsdale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, </w:t>
        </w:r>
        <w:smartTag w:uri="urn:schemas-microsoft-com:office:smarttags" w:element="State">
          <w:r w:rsidRPr="00D95230">
            <w:rPr>
              <w:rFonts w:ascii="Times New Roman" w:hAnsi="Times New Roman"/>
              <w:sz w:val="24"/>
              <w:lang w:val="en-US"/>
            </w:rPr>
            <w:t>New Jersey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London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, 1989. 456 p.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11. Kaplank K. The authority of rhetoric: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Philadelphia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, </w:t>
        </w:r>
        <w:smartTag w:uri="urn:schemas-microsoft-com:office:smarttags" w:element="State">
          <w:r w:rsidRPr="00D95230">
            <w:rPr>
              <w:rFonts w:ascii="Times New Roman" w:hAnsi="Times New Roman"/>
              <w:sz w:val="24"/>
              <w:lang w:val="en-US"/>
            </w:rPr>
            <w:t>PA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: Centre for Curriculum Development, 1972.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12. Malinovsky B. Coral Gardlus and their Magic. Vol. II. The Language of Magic and Garden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London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: Allan, 1935.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13. Ochs E. Introductions: What child language can contribute to pragmatics // Developmental Pragmatics. </w:t>
      </w:r>
      <w:smartTag w:uri="urn:schemas-microsoft-com:office:smarttags" w:element="State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New York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, 1979. P. 1—17.</w:t>
      </w:r>
    </w:p>
    <w:p w:rsidR="00A44299" w:rsidRPr="00D95230" w:rsidRDefault="00A44299" w:rsidP="00A442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14. Sapir E. «Male and female forms of speech in </w:t>
      </w:r>
      <w:smartTag w:uri="urn:schemas-microsoft-com:office:smarttags" w:element="place">
        <w:r w:rsidRPr="00D95230">
          <w:rPr>
            <w:rFonts w:ascii="Times New Roman" w:hAnsi="Times New Roman"/>
            <w:sz w:val="24"/>
            <w:lang w:val="en-US"/>
          </w:rPr>
          <w:t>Yana</w:t>
        </w:r>
      </w:smartTag>
      <w:r w:rsidRPr="00D95230">
        <w:rPr>
          <w:rFonts w:ascii="Times New Roman" w:hAnsi="Times New Roman"/>
          <w:sz w:val="24"/>
          <w:lang w:val="en-US"/>
        </w:rPr>
        <w:t xml:space="preserve">.» Reprinted (1929) D. Mandelbaum (ed.) (1949) Selected Writings of Edward Sapir in Language, Culture and Personality. </w:t>
      </w:r>
      <w:smartTag w:uri="urn:schemas-microsoft-com:office:smarttags" w:element="City">
        <w:r w:rsidRPr="00D95230">
          <w:rPr>
            <w:rFonts w:ascii="Times New Roman" w:hAnsi="Times New Roman"/>
            <w:sz w:val="24"/>
            <w:lang w:val="en-US"/>
          </w:rPr>
          <w:t>Berkeley</w:t>
        </w:r>
      </w:smartTag>
      <w:r w:rsidRPr="00D95230">
        <w:rPr>
          <w:rFonts w:ascii="Times New Roman" w:hAnsi="Times New Roman"/>
          <w:sz w:val="24"/>
          <w:lang w:val="en-US"/>
        </w:rPr>
        <w:t xml:space="preserve"> and </w:t>
      </w:r>
      <w:smartTag w:uri="urn:schemas-microsoft-com:office:smarttags" w:element="City">
        <w:r w:rsidRPr="00D95230">
          <w:rPr>
            <w:rFonts w:ascii="Times New Roman" w:hAnsi="Times New Roman"/>
            <w:sz w:val="24"/>
            <w:lang w:val="en-US"/>
          </w:rPr>
          <w:t>Los Angeles</w:t>
        </w:r>
      </w:smartTag>
      <w:r w:rsidRPr="00D95230">
        <w:rPr>
          <w:rFonts w:ascii="Times New Roman" w:hAnsi="Times New Roman"/>
          <w:sz w:val="24"/>
          <w:lang w:val="en-US"/>
        </w:rPr>
        <w:t xml:space="preserve">: </w:t>
      </w:r>
      <w:smartTag w:uri="urn:schemas-microsoft-com:office:smarttags" w:element="PlaceType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University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 of </w:t>
        </w:r>
        <w:smartTag w:uri="urn:schemas-microsoft-com:office:smarttags" w:element="PlaceName">
          <w:r w:rsidRPr="00D95230">
            <w:rPr>
              <w:rFonts w:ascii="Times New Roman" w:hAnsi="Times New Roman"/>
              <w:sz w:val="24"/>
              <w:lang w:val="en-US"/>
            </w:rPr>
            <w:t>California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 xml:space="preserve"> Press (1949).</w:t>
      </w:r>
    </w:p>
    <w:p w:rsidR="00811DD4" w:rsidRPr="00A44299" w:rsidRDefault="00811DD4">
      <w:pPr>
        <w:rPr>
          <w:lang w:val="en-US"/>
        </w:rPr>
      </w:pPr>
      <w:bookmarkStart w:id="0" w:name="_GoBack"/>
      <w:bookmarkEnd w:id="0"/>
    </w:p>
    <w:sectPr w:rsidR="00811DD4" w:rsidRPr="00A44299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299"/>
    <w:rsid w:val="000445E2"/>
    <w:rsid w:val="001A35F6"/>
    <w:rsid w:val="00212CAA"/>
    <w:rsid w:val="00811DD4"/>
    <w:rsid w:val="0086130F"/>
    <w:rsid w:val="008F4E5E"/>
    <w:rsid w:val="00A44299"/>
    <w:rsid w:val="00C0510E"/>
    <w:rsid w:val="00D41C7B"/>
    <w:rsid w:val="00D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0F0AEFDE-D19C-4B0B-9380-DB97446F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99"/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42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Прагмалингвистические основы межкультурной коммуникации</vt:lpstr>
    </vt:vector>
  </TitlesOfParts>
  <Company>Home</Company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Прагмалингвистические основы межкультурной коммуникации</dc:title>
  <dc:subject/>
  <dc:creator>User</dc:creator>
  <cp:keywords/>
  <dc:description/>
  <cp:lastModifiedBy>admin</cp:lastModifiedBy>
  <cp:revision>2</cp:revision>
  <dcterms:created xsi:type="dcterms:W3CDTF">2014-02-20T05:17:00Z</dcterms:created>
  <dcterms:modified xsi:type="dcterms:W3CDTF">2014-02-20T05:17:00Z</dcterms:modified>
</cp:coreProperties>
</file>