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03B" w:rsidRPr="004436A0" w:rsidRDefault="00E3703B" w:rsidP="00E3703B">
      <w:pPr>
        <w:spacing w:before="120"/>
        <w:jc w:val="center"/>
        <w:rPr>
          <w:b/>
          <w:sz w:val="32"/>
        </w:rPr>
      </w:pPr>
      <w:r w:rsidRPr="004436A0">
        <w:rPr>
          <w:b/>
          <w:sz w:val="32"/>
        </w:rPr>
        <w:t>Правовые механизмы, предотвращающие злоупотребления со стороны единоличного исполнительного органа компании</w:t>
      </w:r>
    </w:p>
    <w:p w:rsidR="00E3703B" w:rsidRPr="004436A0" w:rsidRDefault="00E3703B" w:rsidP="00E3703B">
      <w:pPr>
        <w:spacing w:before="120"/>
        <w:jc w:val="center"/>
        <w:rPr>
          <w:sz w:val="28"/>
        </w:rPr>
      </w:pPr>
      <w:r w:rsidRPr="004436A0">
        <w:rPr>
          <w:sz w:val="28"/>
        </w:rPr>
        <w:t>Анна Микуцкая, Старший консультант Юридической практики AGA Management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В российской правовой системе ключевую роль в управлении компанией играет Единоличный исполнительный орган (далее также – Генеральный директор, директор, ЕИО), поскольку к сфере его ведения отнесены любые вопросы текущей деятельности компании, которые не вошли в компетенцию вышестоящих органов управления.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Федеральное законодательство не предусматривает правовых механизмов, с помощью которых собственники акционерного капитала компании могли бы формировать для Генерального директора обязательные к исполнению указания, в том числе направлять предписания о совершении или воздержании от совершения определенных действий, т.к. такой орган действует свободно, добросовестно и разумно в интересах представляемого им юридического лица, а не его собственников[i]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Ответственность за убытки, причиненные виновными действиями, Генеральный директор несет также перед обществом, а не перед собственниками юридического лица[ii].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Несомненно, основной вопрос – вопрос персонального состава органов управления юридического лица, и в частности, Генерального директора, относится к ведению владельцев акционерного капитала компании. Тем не менее, на практике зачастую надлежащим образом избранный/назначенный на должность Генеральный директор совершает действия, противоречащие интересам собственников бизнеса, но не подлежащие оспариванию в силу своей легитимной правовой природы.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Действующее законодательство предусматривает ряд механизмов, с помощью которых возможно предотвратить нежелательные для собственников бизнеса действия Единоличного исполнительного органа.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И в первую очередь, это конструкции корпоративного права.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Как было замечено ранее, формирование компетенции Генерального директора осуществляется по остаточному принципу – директор уполномочен совершать любые действия, которые не отнесены к компетенции вышестоящих органов. Поэтому если Генерального директора компании de jure нельзя обязать выполнить указание собственников, то ему можно запретить совершать какие-либо действия без волеизъявления вышестоящих органов.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Вышестоящими органами по отношению к Генеральному директору в Обществах с ограниченной ответственностью (далее также – ООО) является Общее собрание участников и Совет директоров, в Акционерных обществах, как закрытого, так и открытого типов (далее также – АО) - Общее собрание акционеров и Совет директоров.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Чем больше вопросов войдет в компетенцию Общего собрания участников/акционеров и Совета директоров, тем меньшими полномочиями в сфере хозяйственной деятельности общества будет обладать Генеральный директор.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Общее собрание участников в ООО и Общее собрание акционеров в АО (далее совместно именуются – Общее собрание) являются высшими органами управления юридического лица.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Перечень вопросов, входящих в компетенцию Общего собрания, является исчерпывающим и определен, соответственно, Федеральным законом «Об обществах с ограниченной ответственностью» для ООО и Федеральным законом «Об акционерных обществах» для АО. Общее собрание не вправе принимать решение по вопросам, не входящим в его компетенцию.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Поскольку компетенция Общего собрания жестко регламентирована законодательством, единственной возможностью расширить компетенцию вышестоящих органов является закрепление в уставе общества компетенции Совета директоров, предусматривающей максимальное количество вопросов, т.к. правовые ограничения на расширение компетенции Совета директоров отсутствуют.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Следует отметить, что в отличие от АО образование Совета директоров в ООО не является обязательным и отнесено в целом на усмотрение участников. Федеральный закон «Об обществах с ограниченной ответственностью» позволяет предусмотреть в уставе ООО любой порядок образования, деятельности и компетенцию Совета директоров.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В АО компетенция Совета директоров частично определена законом, тем не менее, уставом АО в компетенцию органа может быть включен любой вопрос по воле акционеров.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Какие вопросы следует включить в компетенцию Совета директоров, чтобы максимально оградить компанию от злоупотреблений Генерального директора? Представляется, что на решение Совета директоров необходимо передать вопросы, связанные с предварительным одобрением: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любых сделок с имуществом компании (движимым и недвижимым);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сделок в отношении прав компании на результаты интеллектуальной деятельности;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сделок, направленных на выдачу и получение обществом займов, кредитов и поручительств;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вексельных сделок;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сделок свыше определенной суммы;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сделок с акциями (долями в уставных капиталах, паями) других компаний и прав в отношении них;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утверждения на должность ключевых сотрудников;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трудовых договоров с работниками общества, годовой доход которых превышает определенную сумму;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и другие вопросы на усмотрение собственников компании.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Зачастую на практике фактическое формирование Совета директоров компании не входит в планы собственников бизнеса, поскольку деятельность данного органа сопряжена с определенным материальным, техническим и организационным обеспечением, либо у собственников просто отсутствует необходимость в работе Совета директоров. В этом случае законодатель не запрещает включить в устав компании положения, в соответствии с которыми, если Совет директоров не сформирован, его функции выполняет Общее собрание.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Указанная конструкция позволяет de facto расширить круг вопросов, решение по которым принимается Общим собранием, без нарушения норм действующего федерального законодательства.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Еще одна возможность ограничить злоупотребления Единоличного исполнительного органа предусмотрена трудовым правом.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В области трудовых отношений с лицом, выполняющим функции Единоличного исполнительного органа, возможно также предусмотреть ряд мер, которые помогут предотвратить злоупотребления с его стороны, а также будут дополнительно мотивировать его к надлежащему выполнению своих корпоративных и трудовых обязанностей и соблюдению интересов собственников бизнеса.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Уполномоченный орган юридического лица вправе в любое время принять решение о прекращении трудового договора с Генеральным директором, но в таком случае директору должна быть выплачена компенсация в размере не ниже трехкратного среднего месячного заработка[iii].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В соответствии с пунктом 3 статьи 278 Трудового кодекса РФ помимо оснований, предусмотренных трудовым законодательством, трудовой договор с руководителем организации может быть расторгнут по иным основаниям, предусмотренным трудовым договором. Обязанность по выплате компенсации в данном случае законодателем не установлена.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Соответственно, в трудовой договор с лицом, выполняющим функции Единоличного исполнительного органа, целесообразно включить дополнительные основания для расторжения договора. Такими основаниями могут, в частности, являться: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невыполнение по вине руководителя утвержденных в установленном порядке показателей экономической эффективности деятельности общества;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совершение любого действия, выходящего за рамки полномочий руководителя общества;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совершение сделок с имуществом общества в нарушение требований законодательства и устава общества;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неисполнение любого решения Общего собрания или Совета директоров общества;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 xml:space="preserve">разглашение руководителем общества сведений, составляющих коммерческую тайну, ставшую ему известной в связи с использованием своих должностных обязанностей; 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нарушение требований законодательства Российской Федерации, а также устава общества в части сообщения сведений о наличии заинтересованности в совершении сделок, в том числе по кругу заинтересованных лиц и иные основания.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Несомненно, что приведенные нами анализ и сопоставление норм законодательства РФ вскрывают целый ряд механизмов и способов, с помощью которых собственники компании могут ограничить и предотвратить злоупотребления со стороны ее Единоличного исполнительного органа.</w:t>
      </w:r>
    </w:p>
    <w:p w:rsidR="00E3703B" w:rsidRDefault="00E3703B" w:rsidP="00E3703B">
      <w:pPr>
        <w:spacing w:before="120"/>
        <w:ind w:firstLine="567"/>
        <w:jc w:val="both"/>
      </w:pPr>
      <w:r w:rsidRPr="00BE3A1D">
        <w:t>При этом эффективность применения механизмов на практике во многом зависит от качества правовой работы в компании и принятых в компании корпоративных документов.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[i] Пункт 3 статьи 53 Гражданского кодекса РФ.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[ii] Пункт 4 статьи 53 Гражданского кодекса РФ, пункт 2 статьи 44 Федерального закона «Об обществах с ограниченной ответственностью», пункт 2 статьи 71 Федерального закона «Об акционерных обществах».</w:t>
      </w:r>
    </w:p>
    <w:p w:rsidR="00E3703B" w:rsidRPr="00BE3A1D" w:rsidRDefault="00E3703B" w:rsidP="00E3703B">
      <w:pPr>
        <w:spacing w:before="120"/>
        <w:ind w:firstLine="567"/>
        <w:jc w:val="both"/>
      </w:pPr>
      <w:r w:rsidRPr="00BE3A1D">
        <w:t>[iii] Пункт 2 статьи 278, статья 279 Трудового кодекса РФ.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703B"/>
    <w:rsid w:val="000973CB"/>
    <w:rsid w:val="004436A0"/>
    <w:rsid w:val="00690892"/>
    <w:rsid w:val="00811DD4"/>
    <w:rsid w:val="00BE3A1D"/>
    <w:rsid w:val="00E3703B"/>
    <w:rsid w:val="00EC1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26F3F44-D472-4DCC-A971-C068FD5D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03B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3703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1246</Words>
  <Characters>7103</Characters>
  <Application>Microsoft Office Word</Application>
  <DocSecurity>0</DocSecurity>
  <Lines>59</Lines>
  <Paragraphs>16</Paragraphs>
  <ScaleCrop>false</ScaleCrop>
  <Company>Home</Company>
  <LinksUpToDate>false</LinksUpToDate>
  <CharactersWithSpaces>8333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Правовые механизмы, предотвращающие злоупотребления со стороны единоличного исполнительного органа компании</dc:title>
  <dc:subject/>
  <dc:creator>User</dc:creator>
  <cp:keywords/>
  <dc:description/>
  <cp:lastModifiedBy>admin</cp:lastModifiedBy>
  <cp:revision>2</cp:revision>
  <dcterms:created xsi:type="dcterms:W3CDTF">2014-02-20T00:01:00Z</dcterms:created>
  <dcterms:modified xsi:type="dcterms:W3CDTF">2014-02-20T00:01:00Z</dcterms:modified>
</cp:coreProperties>
</file>