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C6" w:rsidRPr="005A4AFA" w:rsidRDefault="005B4EC6" w:rsidP="005B4EC6">
      <w:pPr>
        <w:spacing w:before="120"/>
        <w:jc w:val="center"/>
        <w:rPr>
          <w:b/>
          <w:bCs/>
          <w:sz w:val="32"/>
          <w:szCs w:val="32"/>
        </w:rPr>
      </w:pPr>
      <w:bookmarkStart w:id="0" w:name="_Toc120519709"/>
      <w:r w:rsidRPr="005A4AFA">
        <w:rPr>
          <w:b/>
          <w:bCs/>
          <w:sz w:val="32"/>
          <w:szCs w:val="32"/>
        </w:rPr>
        <w:t>Приоритетные направления развития АПК</w:t>
      </w:r>
      <w:bookmarkEnd w:id="0"/>
    </w:p>
    <w:p w:rsidR="005B4EC6" w:rsidRPr="005A4AFA" w:rsidRDefault="005B4EC6" w:rsidP="005B4EC6">
      <w:pPr>
        <w:spacing w:before="120"/>
        <w:jc w:val="center"/>
        <w:rPr>
          <w:sz w:val="28"/>
          <w:szCs w:val="28"/>
        </w:rPr>
      </w:pPr>
      <w:bookmarkStart w:id="1" w:name="_Toc120519708"/>
      <w:r w:rsidRPr="005A4AFA">
        <w:rPr>
          <w:sz w:val="28"/>
          <w:szCs w:val="28"/>
        </w:rPr>
        <w:t>Кретинин В.А.</w:t>
      </w:r>
      <w:bookmarkEnd w:id="1"/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Поиск и реализация путей, методов и средств выхода из глубокого экономического кризиса, в котором находится отечественное сельское хозяйство, другие  отрасли и сферы агропромышленного комплекса, относится к числу главных задач.  В обязательном порядке должны быть приняты меры макроэкономического порядка, касающиеся ценовой, кредитно-финансовой политики и  поддержки АПК. Очевидно, что направленность аграрной политики должна исходить из необходимости: первое - устойчивого и эффективного функционирования агропромышленного комплекса в целях удовлетворения потребностей населения в его продукции, второе - высокой мотивации труда его работников, третье - развития сельских территорий. При этом сельское хозяйство следует рассматривать не только с позиций производства, но и как сложную многогранную систему, выполняющую спектр народнохозяйственных проблем: демографическую, трудоресурсную, экологическую, природоохранную и другие.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Основные направления агропродовольственной политики Правительства РФ на 2001-2010 годы (одобрены на заседании Правительства Российской Федерации 27 июля 2000 г., протокол № 25)  предусматривают решение стратегических задач в АПК путем ускоренного восстановления производства зерна,  проведения структурной политики, предусматривающей содействие повышению конкурентоспособности отечественных товаропроизводителей, проведение единой земельной, технологической, кадровой, финансовой  политики, информационного обеспечения.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В числе первоочередных государственных мер по преодолению спада сельхозпроизводства предусмотрено:  способствовать улучшению технической оснащенности сельского хозяйства, развитию долгосрочного инвестиционного кредитования сельского хозяйства, лизинговой и страховой деятельности, созданию условий для привлечения частных инвестиций в АПК, созданию цивилизованного рынка земли с целью передачи земельных участков эффективно хозяйствующим субъектам, эффективных интеграционных структур, информационно-консультационной системы.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Основные направления стабилизации и развития агропромышленного комплекса нашли отражение в Концепции Стратегии социально-экономического развития Владимирской области до 2015 года, Концепции стабилизации и развития агропромышленного комплекса Владимирской области на период 2004-2006 годы, проекте областной комплексной программы «Стабилизация и развитие агропромышленного комплекса Владимирской области на 2006-2010 годы»: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 xml:space="preserve">- развитие производственного потенциала агропромышленного комплекса на качественно новом научно-техническом уровне, соответствующем требованиям современных технологий ведения сельскохозяйственного производства; 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- выбор эффективных форм хозяйствования, реформирование и финансовое оздоровление неплатежеспособных хозяйств;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- концентрация государственной поддержки на приоритетных направлениях развития агропромышленного производства, таких как племенное дело в животноводстве, элитное семеноводство, материально-техническое переоснащение сельскохозяйственного производства; мероприятия по сохранению плодородия почв.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Социально-экономическое положение сельского хозяйства во многом определяется технической оснащенностью сельхозтоваропроизводителя. Проблема технического перевооружения аграрного сектора является в настоящее время одной из главных. Диспаритет цен на промышленную и сельскохозяйственную продукцию, постоянный рост тарифов на топливно-энергетические ресурсы не позволяют вести расширенное воспроизводство и обновлять основные производственные фонды, приводят к резкому снижению покупательской способности сельхозтоваропроизводителей.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По сравнению с 1990 годом парк тракторов сократился на 64 процента,  зерноуборочных комбайнов – в два раза. Аналогичное положение и по другим основным сельхозмашинам и оборудованию. Ежегодное обновление техники в хозяйствах области не превышает 1-3 процентов. При сохранении таких тенденций через 2-3 года останется лишь треть потенциала машинно-тракторного парка.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По этим причинам многими предприятиями не выполняются требования технологии проведения полевых работ, сокращаются посевные площади, поголовье скота, уменьшаются объемы производства сельскохозяйственной продукции. Износ материально - технической базы ведет к сокращению работ по поддержанию плодородия земель, ее недостаток – к сокращению рабочих мест.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 xml:space="preserve">Все это определяет острую необходимость осуществления действенных мер по развитию производственного потенциала сельского хозяйства, техническому перевооружению отраслей АПК в целях стабилизации сельскохозяйственного производства. 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 xml:space="preserve">Оснащение сельхозпредприятий энергонасыщенными тракторами мощностью 200-300 л.с., ежегодное приобретение 30-40 новых модификаций зерноуборочных комбайнов, освоение обработки почвы с применением комбинированных почвообрабатывающих и посевных агрегатов  позволит обеспечить отрасль животноводства кормами более высокого качества. 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Обоснованием второго направления является тяжелое финансовое положение большинства сельскохозяйственных организаций области,  которое характеризуется: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- незначительными денежными поступлениями от реализации продукции из-за низкого уровня цен на нее и ограничений сбыта;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- нехваткой собственных оборотных средств для сезонного финансирования производства и недоступностью банковского кредита;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- высокой кредиторской задолженностью, в основном по льготным государственным кредитам, платежам в бюджеты всех уровней и внебюджетные фонды.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Многие неплатежеспособные предприятия подлежат реформированию и финансовому оздоровлению в целях сохранения и развития сельскохозяйственного производства.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Для создания эффективных форм хозяйствования необходимо использовать :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- смену организационно-правовых форм сельхозорганизаций с привлечением инвестора;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- передачу контрольного пакета акций в уставный капитал эффективному собственнику;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- развитие  интеграционных структур, объединяющих сельскохозяйственное производство, переработку и сбытовые организации;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- совершенствование внутрихозяйственных экономических отношений, организации производства и управления.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 xml:space="preserve">Необходимость следующего направления обоснована тем, что аграрный сектор экономики в условиях рынка занимает особое положение, не позволяющее без государственного вмешательства и поддержки в полной мере и на равных условиях участвовать в межотраслевой конкуренции. Трудно рассчитывать на решение проблемы стабилизации аграрного производства, реформирование аграрного сектора лишь на основе его самоорганизации. 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Предприятия агропромышленного комплекса Владимирской области получают государственную поддержку из областного бюджета по 20-ти направлениям, из федерального - по 10-ти. Распыление бюджетных средств по многим направлениям и их незначительная сумма приводит к неэффективной государственной поддержке.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 xml:space="preserve">Государственная поддержка должна быть сконцентрирована на приоритетных направлениях развития агропромышленного производства, таких как племенное дело в животноводстве, элитное семеноводство, материально-техническое переоснащение сельскохозяйственного производства. 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При решении проблем развития АПК необходим комплексный подход, а это возможно только программным путем. Эффективность программного метода подтверждается показателями исполнения областных целевых программ: "Организация семеноводства сельскохозяйственных культур в хозяйствах Владимирской области на 2001-2005 годы", "Совершенствование племенной работы в молочном  животноводстве в сельскохозяйственных предприятиях Владимирской области на 2001-2005 годы", «Воспроизводства плодородия почв Владимирской области на 2001-2005 годы».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Выполнение целевой программы "Организация семеноводства сельскохозяйственных культур в хозяйствах Владимирской области на 2001-2005 годы" позволило семеноводческим хозяйствам, получающим бюджетные субсидии,  реализовать за четыре года сельхозтоваропроизводителям области 10,8 тыс. тонн семян элиты и первой репродукции  зерновых культур, 4,9 тыс. тонн  картофеля, 0,3 тыс. тонн  семян многолетних трав.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 xml:space="preserve">В области районированы 9 новых сортов зерновых и зернобобовых культур, 5 сортов картофеля, 6 сортов кормовых культур (кукуруза, соя, кормовые бобы) и 5 сортов многолетних трав. Большинство  из них своевременно внедрялись в семеноводческие посевы специализированных хозяйств и нашли широкое распространение в посевах сельхозтоваропроизводителей всех форм собственности. 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В результате выполнения программных мероприятий наличие сортовых посевов зерновых культур составило в 2004 году 98,5%, что на 4,5% выше уровня 2000 года, картофеля  - 92%, что на 8% выше уровня 2000 года. Урожайность зерновых в 2004 году по сравнению с 2000 годом повысилась на 5,6%, картофеля - на 43%.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В соответствии с программой по семеноводству укреплялась материально-техническая база машинно-технологических станций (далее - МТС). Эффективное использование машинно-тракторного парка позволило МТС в 1,5 раза увеличить объемы полевых работ в сельхозорганизациях области и заготовить в 2004 году 21 тыс. тонн силоса, 20 тыс. тонн сенажа, 4,7 тыс. тонн сена, убрать зерновые культуры с площади 5,5 тыс. га и обеспечить нагрузку на комбайн 240 га, что в 2 раза выше нормативной.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 xml:space="preserve">Благодаря выполнению мероприятий целевой программы "Совершенствование племенной работы в молочном  животноводстве в сельскохозяйственных предприятиях Владимирской области на 2001-2005 годы", улучшились качественные показатели животных. Животные чистопородные и четвертого поколения составляют 96% от общего поголовья крупного рогатого скота, что на 5 % больше по сравнению с 2001 годом. Животные элита-рекорд и элита составляют 70,5 % от общего поголовья крупного рогатого скота. При этом средний надой на корову увеличился с 3453 кг  в 2001 году до 4028 кг в 2004 году или почти на 17 %. </w:t>
      </w:r>
    </w:p>
    <w:p w:rsidR="005B4EC6" w:rsidRPr="000D74D9" w:rsidRDefault="005B4EC6" w:rsidP="005B4EC6">
      <w:pPr>
        <w:spacing w:before="120"/>
        <w:ind w:firstLine="567"/>
        <w:jc w:val="both"/>
      </w:pPr>
      <w:r w:rsidRPr="000D74D9">
        <w:t>В рамках целевой программы «Воспроизводство плодородия почв Владимирской области на 2001-2005 г» за 4 года проведено известкование почв на площади 84,6 тыс. га, фосфоритование – 8,2 тыс. га, ежегодно на гектар посева вносится по 20-25 кг д.в. минеральных удобрений.  Как результат,  не  допущено резкого снижения качественных показателей состава почв.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EC6"/>
    <w:rsid w:val="00095BA6"/>
    <w:rsid w:val="000D74D9"/>
    <w:rsid w:val="0031418A"/>
    <w:rsid w:val="005A2562"/>
    <w:rsid w:val="005A4AFA"/>
    <w:rsid w:val="005B4EC6"/>
    <w:rsid w:val="00777E2E"/>
    <w:rsid w:val="00860F21"/>
    <w:rsid w:val="008D7520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F92535-8ACD-4767-B526-9C6C714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4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1497</Words>
  <Characters>8534</Characters>
  <Application>Microsoft Office Word</Application>
  <DocSecurity>0</DocSecurity>
  <Lines>71</Lines>
  <Paragraphs>20</Paragraphs>
  <ScaleCrop>false</ScaleCrop>
  <Company>Home</Company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Приоритетные направления развития АПК</dc:title>
  <dc:subject/>
  <dc:creator>Alena</dc:creator>
  <cp:keywords/>
  <dc:description/>
  <cp:lastModifiedBy>Irina</cp:lastModifiedBy>
  <cp:revision>2</cp:revision>
  <dcterms:created xsi:type="dcterms:W3CDTF">2014-08-07T14:33:00Z</dcterms:created>
  <dcterms:modified xsi:type="dcterms:W3CDTF">2014-08-07T14:33:00Z</dcterms:modified>
</cp:coreProperties>
</file>