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59" w:rsidRPr="007E6F39" w:rsidRDefault="00A85459" w:rsidP="00A85459">
      <w:pPr>
        <w:widowControl/>
        <w:spacing w:before="120"/>
        <w:ind w:left="0" w:firstLine="0"/>
        <w:jc w:val="center"/>
        <w:rPr>
          <w:b/>
          <w:sz w:val="32"/>
          <w:szCs w:val="24"/>
        </w:rPr>
      </w:pPr>
      <w:r w:rsidRPr="007E6F39">
        <w:rPr>
          <w:b/>
          <w:sz w:val="32"/>
          <w:szCs w:val="24"/>
        </w:rPr>
        <w:t>Проблема классификации падежей</w:t>
      </w:r>
    </w:p>
    <w:p w:rsidR="00A85459" w:rsidRPr="007E6F39" w:rsidRDefault="00A85459" w:rsidP="00A85459">
      <w:pPr>
        <w:widowControl/>
        <w:spacing w:before="120"/>
        <w:ind w:left="0" w:firstLine="0"/>
        <w:jc w:val="center"/>
        <w:rPr>
          <w:sz w:val="28"/>
          <w:szCs w:val="24"/>
        </w:rPr>
      </w:pPr>
      <w:r w:rsidRPr="007E6F39">
        <w:rPr>
          <w:sz w:val="28"/>
          <w:szCs w:val="24"/>
        </w:rPr>
        <w:t xml:space="preserve">Курилович Е. </w:t>
      </w:r>
    </w:p>
    <w:p w:rsidR="00A85459" w:rsidRPr="007E6F39" w:rsidRDefault="00A85459" w:rsidP="00A85459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7E6F39">
        <w:rPr>
          <w:b/>
          <w:sz w:val="28"/>
          <w:szCs w:val="24"/>
        </w:rPr>
        <w:t>§ 1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Неправильный анализ предложных оборотов до сих пор является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 нашему мнению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основным препятствием для анализа категории падежа. В последних работах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посвященных падежу (Л. Ельмслева2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Р. Якобсона3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А. В. де Гроота4)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предложные обороты либо вообще обходят молчанием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либо рассматривают иначе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«синтетические» падежные формы. При установлении общего значения падежей Якобсон расчленяет предложные обороты так: предлог + падежная форма (о винительном см. стр. 248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 родительном — стр. 260— 261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 творительном — стр. 268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 дательном — стр. 272 и о предложном — стр. 274—276)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нарушая тем самым морфологическое единство предлога и зависящего от него падежного окончания. Де Гроот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говоря об управлении падежами («доминировании») в оборотах типа extra urbem «вне города» или реr urbem «по городу» (стр. 124) имеет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в виду то же членение: предлог (управляющее) + падежная форма (управляемое).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Впрочем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чрезвычайно важно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такого типа управление совершенно не сравнимо с управлением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facere aliquid на facere и aliquid «делать что-либо»; это группа из двух самостоятельных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слов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отношением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подчинения (facere — определяемое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aliquid — определяющее) Расчленение facere aliquid на facere и aliquid — это правильная дихотомия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расчленение ехtra urbem «вне города» на ехtra + urbem — это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дихотомия ошибочная. Существительное urbs не определяет предлог ехtra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который не является самостоятельным словом; с другой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ехtra не определяет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urbs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если термин «определять» употребляется только применительно к синтаксическим связям между самостоятельными словами. Самостоятельное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слово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urbs определяется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предлогом ехtra точно так же и в том же смысле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каком основа или корень определяются флективным окончанием или словообразующим суффиксом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несамостоятельной («синсемантической») морфемой.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Морфема ехtra urbem со своей стороны обуславливает наличие окончания аккузатива (urb-em). Морфологическая структура предложного оборота ехtra urbem такова: самостоятельная («автосемантическая морфема = корень urb-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несамостоятельная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(синсемантическая)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морфема = предлог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ехtra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откуда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ехtra urb-; чисто формально имплицирует окончание аккузатива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откуда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ехtra urb-em.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Иначе говоря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 первом дихотомическом расчленении оборота ехtra urbem выделяется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чистый корень (или чистая основа)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с другой — предлог ехtra с зависящим от него окончанием аккузатива. И только при второй дихотомии удается разложить эту последнюю морфему на основную субморфему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несущую значение (предлог)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на дополнительную субморфему (окончание аккузатива). Такая морфологическая структура вполне обычна. Ср.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немецком языке множественное число существительных на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еr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предполагающее дополнительную субморфему умлаута (*Wald-er &gt; Wäld-er)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или различные индоевропейские образования с первичными суффиксами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часто обуславливающими определенный вокализм корня (*loukos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*luks и т. д.).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Однако особенность случая с предлогом состоит в том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предлог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хотя и является не самостоятельным словом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морфемой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известной степени независим от определяемого существительного. Эта независимость проявляется прежде всего в том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между предлогом и существительным могут вставляться другие самостоятельные члены синтаксической группы: ad ripam Rhodani «на берег Роны» = ad Rhodani ripam. Эта относительная (ограниченная) свобода предлогов не позволяет считать их рангом выше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падежные окончания так называемых синтетических падежей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 др.-инд. инструменталя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аблатива или локатива. С функциональной точки зрения оба средства выражения находятся на одном и том же уровне. Анализируя глагольную систему французского языка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никто не станет проводить границу между «синтетическими» формами презенса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имперфекта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простого прошедшего и «аналитическими» формами перфекта и плюсквамперфекта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отказываясь рассматривать эти формы вместе. Однако «вспомогательность» глаголов avoir и etre является спорной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как они (особенно первый из них) употребляются и как самостоятельные глаголы. Предлог тоже может употребляться самостоятельно в качестве наречия (например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аvес)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не мешает ему оставаться внутри предложного оборота несамостоятельной морфемой. Известно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предлоги обычно происходят от наречий или наречных оборотов; превращение в предлог происходит в тот момент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когда наречие или наречный оборот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до сих пор определявшиеся существительным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становятся в результате изменения иерархии его несамостоятельным определяющим. 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французское а cause de la greve «из-за забастовки» сначала было равно (а cause) → de la greve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стрелка направлена от определяемого к определяющему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потом стало (а cause de) → la greve. Несамостоятельная морфема а cause de состоит из основной субморфемы а cause и падежной субморфемы de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 точности аналогично рассмотренному выше примеру extra urbem. Точно так же разлагается Grасе а «благодаря (чему)» и т. д. Во французском языке единство морфемы а cause de ощущается лучше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в латинском единство морфемы extra + аккузатив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так как в последнем случае субморфемы не являются смежными.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Предлоги индоевропейских языков также могли происходить от наречий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сопровождавших падежную форму например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*peri (застывший локатив)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существительное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в локативе и т. д.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Графическая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самостоятельность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предлогов (ad ripam вместо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*adripam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несмотря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 безударность предлога ad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объясняемую его семантической несамостоятельностью) определяется наличием таких конструкций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ad Rhodani ripam. Элемент ad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несмотря на его проклитический характер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 пишется вместе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одно слово с последующим; Rhodani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как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непосредственно связан с ripam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то время как с Rhodani он соотносится лишь косвенно. Если бы предлоги никогда не отделялись от своих существительных другими словами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они составляли бы с существительными графическое единство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подобно предлогам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которые в ряде языков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если невозможны промежуточные элементы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пишутся слитно с предшеств^ существительным.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графической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параллели приведем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определенный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артикль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во французском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итальянском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испанском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английском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немецком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с другой — в румынском или в скандинавских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языках.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Графическая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самостоятельность и несамостоятельность второго отражают закономерности порядка слов (или морфем): во французском артикль может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отделяться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существительного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прилагательным-определением (le bon cure «добрый кюре»)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румынском же это невозможно (omul mort «мертвый человек»).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Кроме раздельного написания предлогов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есть другой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серьезный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аргумент: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существование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предлогов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управляющих несколькими различными падежными формами (in urbe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: in urbem). В самом деле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если 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подбных: примерах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падежная форма по крайней мере до некоторой степени независима от предлога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не следует ли считать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падежное окончание имеет наряду со значением предлога собственное значение? Чтобы ответить на этот вопрос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приведем сначала несколько хорошо известных примеров.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Древнеирландские предлоги air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fo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for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in(d) употребляются то с дативом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с аккузативом. В немецком предлоги an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auf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hinter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in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neben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unter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uber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vor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zwischen требуют либо датива-локатива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либо аккузатива цели. В польском после предлогов nad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роd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zа употребляется либо инструменталь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указывающий местонахождение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либо аккузатив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обозначающий цель движения; после предлогов nа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рrzу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w то же самое смысловое различие передается альтернацией локатив: аккузатив.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Значение предлога в этих примерах не изменяется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хотя глагол движения сообщает дополнительный оттенок цели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латинском in urbem ire оборот in urbe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падежное окончание аблатива (= е) зависит от in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испытывает семантическое влияние со стороны глагола движения и поэтому изменяется: ire in urbe &gt; ire in urbem. Однако сам оборот in urbe не зависит от окружения и остается при глаголах движения неизменным. В русском между Он прыгает на столе и Он прыгает на стол нет прямого противопоставления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позволило бы нам установить независимые значения для на столе и для на стол. В первом примере (на столе) предложная конструкция занимает более периферийную позицию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во втором (ср. Он пишет на столе)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во втором примере (на стол) ее позиция более центральная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в первом. В развернутом высказывании В комнате он прыгнул на стол аккузатив направления (на столе) занимает более центральную позицию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локатив (в комнате). Если сравнить с этим выражение прыгает на столе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мы увидим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на столе соответствует по своей периферийной позиции сочетанию в комнате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а не на стол.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Встречаются также предлоги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управляющие несколькими падежными формами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альтернация которых объясняется совсем иначе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в вышеприведенных примерах. в литовском предлог uz с генитивом означает «за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позади»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uz + аккузатив означает «для»; здесь перед два различных предлога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их различное управление синхронической проблемой. Подчеркнем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 альтернациях типа in urbe : in urbem значение предлога не меняется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поэтому следует искать другое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объяснение различия зависящих от предлога падежей. Значеине же uz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может быть определено только вместе с управляемым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падежом.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Мы приходим к выводу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наличие предлогов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управляющих несколькими падежами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 является доказательством самостоятельности этих падежей. Правильный анализ позволяет нам говорить либо о двух формах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одна из которых семантически связана с глаголом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другая свободна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либо о таких цельных комплексах предлог + падеж1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предлог + падеж2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невозможно выделить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падеж1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падеж2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поскольку здесь не имеет места смысловая идентичность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предлогов первого и второго комплексов.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основной аргумент в пользу членения предложных оборотов типа extra + urbem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in + urbem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in + urbe отклоняется окончательно.</w:t>
      </w:r>
      <w:r>
        <w:rPr>
          <w:sz w:val="24"/>
          <w:szCs w:val="24"/>
        </w:rPr>
        <w:t xml:space="preserve"> 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Правильное членение таково: extra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urb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Отсюда два следствия: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II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1) падежная форма не может быть оторвана от предложного оборота; поэтому такую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падежную форму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нельзя рассматривать наравне со свободными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падежными формами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или с падежными формами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управляемыми глаголом непосредственно без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предлога;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предлог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 является управляющим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формы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представляет собой субморфему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хотя и основную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сложной морфемы II (состоящей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предлога + падежное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окончание). Предлог управляет или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точнее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имплицирует только падежное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окончание как таковое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не падеж (то есть не падежную форму).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В «аналитических» языках предложный оборот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это то же самое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 «синтетических» языках наречие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производное от существительного. Функциональное различие между «аналитическим» падежом (например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фр. de Pierre a Pierre) и предложным оборотом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же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и между «синтетическим» падежом и наречием (производным).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Так же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аналитические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пополняются за счет предложных оборотов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и синтетические имеют естественным источником отсубстантивное наречие. Древнеиндийская форма на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tas (типа mukhatah «впереди»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буквально «перед лицом»)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являющаяся наречием в ведийском языке и в классическом санскрите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среднеиндийском стала падежной формой (mukhato вместо древнего аблатива mukhat). С другой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многие наречия являются пережитками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представляющими окаменевшие падежи (например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лат. certe «наверняка»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русск. кругом)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которые отошли от живых падежей в ходе формального обновления парадигмы.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Переход наречие (или предложный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оборот) &gt; падежная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форма 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наоборот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падежная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форма &gt; наречие соответствует расширению или сужению употребления рассматриваемой морфемы (суффикса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предлога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окончания). Наречное образование» даже продуктивное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обычно обладает относительно ограниченной сферой употребления.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образование mukhatah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живым1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оно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распространяется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 древнеиндийском только на небольшое число существительных.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объясняется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конкретным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семантическим содержанием самого наречного суффикса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природа которого исключает неограниченное употребление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охватывающее все именные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основы. Употребление этого суффикса ограничено определенным числом корней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смысл которых согласуется со значением суффикса. Как только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наречие начинает выступать в функции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присущей падежной форме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начинает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управляться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конкретное семантическое значение уступает место синтаксическому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словообразовательный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суффикс становится флективным окончанием. Теперь уже область употребления этой морфемы становится неограниченной: поскольку морфема превратилась в синтаксический показать (там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падежная форма управляется другим словом) она может соединяться с любой именной основой (или корнем). Наречие как форма словообразования и падеж как форма словоизменения различаются главным образом объемом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сфер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употребления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морфем.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1Живым в том смысле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что связь этого образования со словом-основой ощущается говорящими и позволяет строить аналогичные образования. </w:t>
      </w:r>
    </w:p>
    <w:p w:rsidR="00A85459" w:rsidRPr="007E6F39" w:rsidRDefault="00A85459" w:rsidP="00A85459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7E6F39">
        <w:rPr>
          <w:b/>
          <w:sz w:val="28"/>
          <w:szCs w:val="24"/>
        </w:rPr>
        <w:t>§2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Ни одну морфологическую или фонологическую проблему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представляющую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известную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степень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сложности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невозможно успешно исследовать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 определив сначала понятие значения или в более общей форме понятие функции. В области морфологии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которой мы сейчас занимаемся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Якобсон (стр.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244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252—253) различает общее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значение («Gesamtbedeutung») и специфические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значения («spezifische Bedeutungen»)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основное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значение («Наuрtbedeutung»). Это различие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применимое в области семантики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представляется нам неудобным при исследовании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переплетения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семантических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синтаксических фактов. Как нам кажется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анализ де Гроота (стр. 124-127) представляет собой шаг вперед по сравнению с исследованием Р. Якобсона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хотя мы и не могли бы при все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выдающегося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голландского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лингвиста.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В статье «Деривация лексическая и деривация синтаксическая»1 мы пользовались выражениями первичная функция и вторичные функции. Еще раньше мы применяли эти термины в работе «Etudes indo-europeennes» (см.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197). В области фонологии это различие помогло нам установить классы согласных и осветить вопрос об индоевропейских полугласных (см. «Contribution a la theorie de la syllabe»). Первичная и вторичная функции определяются соответственно языковой системой и условиями (контекстом). Функция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проявляющаяся в таких специальных условиях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которые можно определить положительным образом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считается вторичной2. В зависимости от того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идет ли речь о семантической или синтаксической функции</w:t>
      </w:r>
      <w:r>
        <w:rPr>
          <w:sz w:val="24"/>
          <w:szCs w:val="24"/>
        </w:rPr>
        <w:t xml:space="preserve">, 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___________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smartTag w:uri="urn:schemas-microsoft-com:office:smarttags" w:element="metricconverter">
        <w:smartTagPr>
          <w:attr w:name="ProductID" w:val="1 См"/>
        </w:smartTagPr>
        <w:r w:rsidRPr="007E6F39">
          <w:rPr>
            <w:sz w:val="24"/>
            <w:szCs w:val="24"/>
          </w:rPr>
          <w:t>1 См</w:t>
        </w:r>
      </w:smartTag>
      <w:r w:rsidRPr="007E6F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настоящий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сборник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57.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2 Из того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ято условия являются специальными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 следует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вторичная функция (например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вторичное значение) является более специальной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первичная. Из работ Вундта («associative Verdichtung») известно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специальные условия могут отнимать у рассматриваемой формы часть семантического содержания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общего с этими условиями. В настоящее время можно было бы говорить о диссимиляции — применительно как к семантическим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и морфологическим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явлениям.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палатальных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согласных палатальные гласные могут утрачивать палатализацию (*kriceti &gt; kricati однако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другой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здесь возможна и ассимиляция велярных гласных (например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норвежское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hjarta &gt;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шведское hjärta).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эти условия бывают семантического или синтаксического характера. Некоторая определяемая системой функция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называющаяся первичной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может быть модифицирована различными способами и давать различные вторичные функции. Наши термины можно было бы сравнивать с терминами Р. Якобсона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если бы термин функция точно соответствовал термину Bedeutung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места не имеет. В таком выражении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manu dextra «правой рукой»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еще можно говорить о значении окончания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u в manu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окончание генитива множественного числа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 xml:space="preserve">um в potiri rerum «захватить власть» — это всего лишь показатель синтаксической зависимости («Feldzeichen»).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применить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вторичной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 анализу падежей?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Возьмем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индоевропейских языках). При переходных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этот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 обозначает внутренний или внешний объект действия (affectum или effectum)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окончание аккузатива не имеет никакой семантической значимости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чисто синтаксическим показателем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подчиненности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глаголу.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кроме этого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имеются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случаи особого употребления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 цели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 пространственной или временной протяженности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 цены и т. д. Каждое из этих значений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присуще сочетаниям с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глаголами определенной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семантической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группы.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 цели возможен только при глаголах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обозначающих движение.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длительности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(временной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протяженности) бывает лишь при глагольных формах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содержащих идею длительности. В славянских языках такой аккузатив употребляется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 глаголами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несовершенного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вида.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По-польски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можно сказать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pisal dwa tygodnie «писал две недели»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нельзя napisal dwa tygodnie «написал две недели» (napisal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совершенный вид от pisal). Что же касается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переходных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употребляется аккузатив (прямого дополнения)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их определить с точки зрения семантики не удается. Характерный для них признак — переходность — это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признак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синтаксического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порядка: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существительное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просто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подчиняется глаголу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окончания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содержат какого-либо особого оттенка значения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соответствующего семантическому содержанию глагола.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Поэтому можно говорить о первичной функции аккузатива — в роли прямого дополнения — и о ряде вторичных функций: аккузатив цели (др.-инд. nagaram «идет в город»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лат. Romam ire «идти в Рим»)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протяженности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цены и т. д. Условия употребления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аккузатива во вторичной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могут быть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определены. Условия эти — контекст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не в каком-то неопределенном смысле: это прежде всего и главным образом семантическое содержание глагола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 которого зависит падежная форма1. Окончание аккузатива как бы приспосабливается к глаголу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проникаясь его специальным значением. Первичную функцию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определить не удается. Пользуясь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терминологией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Бюлера 2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«обусловлена в системе» (systembedingt) в то время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как вторичные функции «обусловлены в поле» (feldbedingt).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Анализируя семантическое содержание аккузативного окончания в его различных функциях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мы увидим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 первичной функции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аккузатив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представляет собой чисто синтаксический показатель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оно равно нулю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во вторичной функции обладает различными смысловыми оттенками.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падежная форма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аккузатива функционирует как грамматический падеж в лат. occidere hostem «убить врага» и как конкретный падеж в лат. Romam ire «идти в Рим»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triginta annos vivere «жить тридцать лет»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польск.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kostuje jedna setke «стоит одну сотню» и т. д.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Конкретный падеж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же как и грамматический падеж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подчинен глаголу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его окончание сохраняет собственное семантическое содержание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придает конкретному падежу наречный характер. Ср.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вед. divi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____________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 Мы не принимаем здесь во внимание тот факт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различные специальные употребления аккузатива определяются также значением соответствующих существительных: аккузатив цели — названиями места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 временной протяженности — существительными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обозначающими отрезки времени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т. д.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 См"/>
        </w:smartTagPr>
        <w:r w:rsidRPr="007E6F39">
          <w:rPr>
            <w:sz w:val="24"/>
            <w:szCs w:val="24"/>
            <w:lang w:val="en-US"/>
          </w:rPr>
          <w:t xml:space="preserve">2 </w:t>
        </w:r>
        <w:r w:rsidRPr="007E6F39">
          <w:rPr>
            <w:sz w:val="24"/>
            <w:szCs w:val="24"/>
          </w:rPr>
          <w:t>См</w:t>
        </w:r>
      </w:smartTag>
      <w:r w:rsidRPr="007E6F39">
        <w:rPr>
          <w:sz w:val="24"/>
          <w:szCs w:val="24"/>
          <w:lang w:val="en-US"/>
        </w:rPr>
        <w:t xml:space="preserve">, </w:t>
      </w:r>
      <w:r w:rsidRPr="007E6F39">
        <w:rPr>
          <w:sz w:val="24"/>
          <w:szCs w:val="24"/>
        </w:rPr>
        <w:t>К</w:t>
      </w:r>
      <w:r w:rsidRPr="007E6F39">
        <w:rPr>
          <w:sz w:val="24"/>
          <w:szCs w:val="24"/>
          <w:lang w:val="en-US"/>
        </w:rPr>
        <w:t xml:space="preserve">. Bühler. Sprachtheorie, Darstellungsfelder der Sprache, </w:t>
      </w:r>
      <w:smartTag w:uri="urn:schemas-microsoft-com:office:smarttags" w:element="place">
        <w:smartTag w:uri="urn:schemas-microsoft-com:office:smarttags" w:element="City">
          <w:r w:rsidRPr="007E6F39">
            <w:rPr>
              <w:sz w:val="24"/>
              <w:szCs w:val="24"/>
              <w:lang w:val="en-US"/>
            </w:rPr>
            <w:t>Jena</w:t>
          </w:r>
        </w:smartTag>
      </w:smartTag>
      <w:r w:rsidRPr="007E6F39">
        <w:rPr>
          <w:sz w:val="24"/>
          <w:szCs w:val="24"/>
          <w:lang w:val="en-US"/>
        </w:rPr>
        <w:t xml:space="preserve">, 1934.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«на небе» и iha «здесь»: и локатив и наречие представляются одинаково независимыми от глагола (в семантическом отношении). Ср. также аблатив mukhat «рот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лицо» и наречие mukhatah «впереди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перед лицом». Ясно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конкретные падежи ближе к наречию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чем грамматические. Каковы же различия между конкретными падежами и наречиями?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Конкретные падежи также имеют первичные и. вторичные функции. Первичная их функция — наречное употребление; однако от наречий их отличает наличие вторичной функции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которая состоит в том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падежное окончание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лишенное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семантического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значения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становится простым синтаксическим показателем. Это происходит в тех случаях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когда конкретный падеж управляется глаголом со специальным значением.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Достаточно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обратиться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синтаксису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любого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индоевропейского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языка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чтобы убедиться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 том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все конкретные падежи — и инструменталь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аблатив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локатив — могут после определенных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глаголов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становиться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грамматическими. Если славянские глаголы со значением «потрясать»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«размахивать» требуют инструменталя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не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это факт управления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лишает соответствующие окончания инструменталя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их семантического содержания и отождествляет их с точки зрения значения с аккузативным окончанием прямого дополнения. Другими словами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окончания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становятся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сказать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комбинаторными вариантами аккузативного окончания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прямого дополнения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— вариантами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которые обусловлены семантикой глаголов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управляющих рассматриваемым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падежом.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Так1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аблатив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управляется глаголами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выражающими понятия: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1) «уступать»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«удалять»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«гнать»;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«быть лишенным»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«нуждаться»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«лишать»;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«происходить»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«возникать»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рождаться»;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4) «делать»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«верить»;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«освобождать»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«спасать»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«защипать»;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«брать»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«получать»;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«оставаться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позади»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 быть удаленным»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Значение глагола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сочетаясь со значением существительного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достаточно ясно определяет связь между глаголом и существительным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так что падежное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  <w:lang w:val="en-US"/>
        </w:rPr>
      </w:pPr>
      <w:r w:rsidRPr="007E6F39">
        <w:rPr>
          <w:sz w:val="24"/>
          <w:szCs w:val="24"/>
          <w:lang w:val="en-US"/>
        </w:rPr>
        <w:t>___________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  <w:lang w:val="en-US"/>
        </w:rPr>
      </w:pPr>
      <w:r w:rsidRPr="007E6F39">
        <w:rPr>
          <w:sz w:val="24"/>
          <w:szCs w:val="24"/>
          <w:lang w:val="en-US"/>
        </w:rPr>
        <w:t>1</w:t>
      </w:r>
      <w:r w:rsidRPr="007E6F39">
        <w:rPr>
          <w:sz w:val="24"/>
          <w:szCs w:val="24"/>
        </w:rPr>
        <w:t>См</w:t>
      </w:r>
      <w:r w:rsidRPr="007E6F3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7E6F39">
        <w:rPr>
          <w:sz w:val="24"/>
          <w:szCs w:val="24"/>
        </w:rPr>
        <w:t>К</w:t>
      </w:r>
      <w:r w:rsidRPr="007E6F3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7E6F39">
        <w:rPr>
          <w:sz w:val="24"/>
          <w:szCs w:val="24"/>
          <w:lang w:val="en-US"/>
        </w:rPr>
        <w:t>Brugmann</w:t>
      </w:r>
      <w:r>
        <w:rPr>
          <w:sz w:val="24"/>
          <w:szCs w:val="24"/>
          <w:lang w:val="en-US"/>
        </w:rPr>
        <w:t xml:space="preserve">, </w:t>
      </w:r>
      <w:r w:rsidRPr="007E6F39">
        <w:rPr>
          <w:sz w:val="24"/>
          <w:szCs w:val="24"/>
          <w:lang w:val="en-US"/>
        </w:rPr>
        <w:t xml:space="preserve">Kurze vergleichende Grammatik der indogermanischen </w:t>
      </w:r>
      <w:smartTag w:uri="urn:schemas-microsoft-com:office:smarttags" w:element="City">
        <w:r w:rsidRPr="007E6F39">
          <w:rPr>
            <w:sz w:val="24"/>
            <w:szCs w:val="24"/>
            <w:lang w:val="en-US"/>
          </w:rPr>
          <w:t>Sprachen</w:t>
        </w:r>
      </w:smartTag>
      <w:r>
        <w:rPr>
          <w:sz w:val="24"/>
          <w:szCs w:val="24"/>
          <w:lang w:val="en-US"/>
        </w:rPr>
        <w:t xml:space="preserve">, </w:t>
      </w:r>
      <w:smartTag w:uri="urn:schemas-microsoft-com:office:smarttags" w:element="State">
        <w:r w:rsidRPr="007E6F39">
          <w:rPr>
            <w:sz w:val="24"/>
            <w:szCs w:val="24"/>
            <w:lang w:val="en-US"/>
          </w:rPr>
          <w:t>Berlin</w:t>
        </w:r>
      </w:smartTag>
      <w:r w:rsidRPr="007E6F39">
        <w:rPr>
          <w:sz w:val="24"/>
          <w:szCs w:val="24"/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7E6F39">
            <w:rPr>
              <w:sz w:val="24"/>
              <w:szCs w:val="24"/>
              <w:lang w:val="en-US"/>
            </w:rPr>
            <w:t>Leipzig</w:t>
          </w:r>
        </w:smartTag>
      </w:smartTag>
      <w:r>
        <w:rPr>
          <w:sz w:val="24"/>
          <w:szCs w:val="24"/>
          <w:lang w:val="en-US"/>
        </w:rPr>
        <w:t xml:space="preserve">, </w:t>
      </w:r>
      <w:r w:rsidRPr="007E6F39">
        <w:rPr>
          <w:sz w:val="24"/>
          <w:szCs w:val="24"/>
          <w:lang w:val="en-US"/>
        </w:rPr>
        <w:t>1993</w:t>
      </w:r>
      <w:r>
        <w:rPr>
          <w:sz w:val="24"/>
          <w:szCs w:val="24"/>
          <w:lang w:val="en-US"/>
        </w:rPr>
        <w:t xml:space="preserve">, </w:t>
      </w:r>
      <w:r w:rsidRPr="007E6F39">
        <w:rPr>
          <w:sz w:val="24"/>
          <w:szCs w:val="24"/>
        </w:rPr>
        <w:t>стр</w:t>
      </w:r>
      <w:r w:rsidRPr="007E6F39">
        <w:rPr>
          <w:sz w:val="24"/>
          <w:szCs w:val="24"/>
          <w:lang w:val="en-US"/>
        </w:rPr>
        <w:t xml:space="preserve">. 422 </w:t>
      </w:r>
      <w:r w:rsidRPr="007E6F39">
        <w:rPr>
          <w:sz w:val="24"/>
          <w:szCs w:val="24"/>
        </w:rPr>
        <w:t>и</w:t>
      </w:r>
      <w:r w:rsidRPr="007E6F39">
        <w:rPr>
          <w:sz w:val="24"/>
          <w:szCs w:val="24"/>
          <w:lang w:val="en-US"/>
        </w:rPr>
        <w:t xml:space="preserve"> </w:t>
      </w:r>
      <w:r w:rsidRPr="007E6F39">
        <w:rPr>
          <w:sz w:val="24"/>
          <w:szCs w:val="24"/>
        </w:rPr>
        <w:t>сл</w:t>
      </w:r>
      <w:r w:rsidRPr="007E6F39">
        <w:rPr>
          <w:sz w:val="24"/>
          <w:szCs w:val="24"/>
          <w:lang w:val="en-US"/>
        </w:rPr>
        <w:t xml:space="preserve">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окончание лишается своего семантического содержания (диссимиляция).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Однако первичная функция аблатива не вызывает сомнений: она обозначает исходную точку действия. О первичности этой функции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говорит: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1) тот факт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зависит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окружения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тогда как «управляемый» аблатив связан с определенными семантическими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группами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глаголов; 2) тот факт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примеры управления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аблатив становится комбинаторным вариантом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прямого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дополнения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являются вторичными по отношению к примерам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в которых существование аблатива в парадигме оправдывается его самостоятельным значением.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подходим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предварительной дихотомической классификации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приглагольных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падежей:</w:t>
      </w:r>
      <w:r>
        <w:rPr>
          <w:sz w:val="24"/>
          <w:szCs w:val="24"/>
        </w:rPr>
        <w:t xml:space="preserve">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Грамматический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падеж1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(аккузатив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прямого дополнения):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первичная синтаксическая функция;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вторичная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наречная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функция;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2) конкретные падежи1 (все прочие косвенные прилагательные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падежи):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первичная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наречная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функция;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б) вторичная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синтаксическая функция.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Подчеркиваем еще раз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переход от первичной функции к вторичной всегда сопровождается ограничением условий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которых выступает падежная форма. Во вторичной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употребляется только после глаголов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образующих вполне определенные синтаксические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группы.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перехода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первичная функция &gt; вторичная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 грамматического падежа и у конкретных падежей диаметрально противоположны. Грамматический падеж подвергается адвербиализации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конкретные падежи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грамматикализации. Степень того и другого непосредственно сказывается на сфере употребления падежного окончания. Чем больше «наречность» употребления падежа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тем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___________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 Более удачными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представляются термины «синтаксический» вместо «грамматический» и «семантический» вместо «конкретный». Но теория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падежей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уже и так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перегружена терминами («падежи внутренней и внешней детерминации»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«местные падежи» и т. д.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поэтому мы сохраняем привычную терминологию.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меньше число именных основ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которыми может сочетаться соответствующее падежное окончание. Аккузатив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возможен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существительных (собственных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нарицательных)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обозначающих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место; аккузатив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временной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протяженности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образуется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лишь от существительных со значением «отрезок времени» и т. д. Наоборот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когда конкретный падеж вступает в отношение управления и его окончание утрачивает свое семантическое содержание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сфера употребления этого падежа расширяется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число основ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 которых он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образуется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увеличивается. Ясно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у абстрактных существительных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окончание локатива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иметь конкретного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(местного)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значения: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окончание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будет прежде всего и главным образом выступать в роли синтаксического показателя.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Основное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различие между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грамматическим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падежом и конкретными падежами состоит не только в различном смысловом содержании соответствующих окончаний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и в различии синтаксической позиции по отношению к глаголу. Рассмотрим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фр. Je reverrai mes collegues a l'ecole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«Я вновь увижу своих коллег в школе». Позиция прямого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дополнения является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 отношению к глаголу более центральной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позиция локатива — более периферийной. Иначе говоря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локатив a l'ecole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определяет группу je reverrai mes collegues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рассматриваемую как относительное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единство.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потому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форма аккузатива — это синтаксический показатель связи между прямым дополнением и глаголом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эта связь теснее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связь между глаголом и локативом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форма которого имеет самостоятельное конкретное значение без прямой синтаксической функции. Этот локатив подчинен глаголу только благодаря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своему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наречному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значению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(напротив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во фр. croire au Saint Esprit «верить в святого духа» локатив имеет синтаксическое значение). Формальная связь между (je) reverrai и mes collegues (более отчетливо выраженная 0 флективных языках) и отсутствие такой связи между (je) reverrai и a l'ecole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— вот причина того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(je) reverrai и mes collegues связаны между собой более тесно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группа (je) reverrai mes collegues с локативом a l'ecole. Графически это можно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выразить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так: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(je reverrai mes collegues) a l'ecole.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Из этого примера видно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какое значение имеет для теории падежей различие между центральными и периферийными позициями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проиллюстрированное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 связи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противопоставлением in urbe : in urbem. Если грамматический падеж более централен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конкретный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конкретный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употребленный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во вторичной (синтаксической) функции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более централен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конкретный падеж в первичной (наречной) функции. 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potiri civitate «захватить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город силой» (букв. «оружием») первый (управляемый) аблатив civitate более централен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второй (свободный) аблатив armis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имеющий инструментальное значение; отсюда (potiri civitate) armis. 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грамматический падеж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употребленный во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вторичной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(наречной)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периферийнее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тот же самый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 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первичной функции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 Dies circiter XV (iter fecerunt) «Они проделали путь приблизительно за пятнадцать дней». Грамматикализация падежной формы сообщает ей центральное положение среди определяющих глагола; адвербиализация падежа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отбрасывает его на периферию глагольной группы.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Ясно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термины центральный и периферийный никак не относятся к порядку слов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который далеко не всегда отражает внутренний порядок слов. </w:t>
      </w:r>
    </w:p>
    <w:p w:rsidR="00A85459" w:rsidRPr="007E6F39" w:rsidRDefault="00A85459" w:rsidP="00A85459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7E6F39">
        <w:rPr>
          <w:b/>
          <w:sz w:val="28"/>
          <w:szCs w:val="24"/>
        </w:rPr>
        <w:t>§3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До сих пор мы говорили о падежах так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будто существуют только приглагольные (= определяющие глагол падежи.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имеются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другие падежные формы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соответствующие другим синтаксическим функциям.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Существительное может быть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предложении: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подлежащим;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2) приложением (определением) к другому существительному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или предикативом;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3) сказуемым;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4) косвенным определением глагола или имени.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В индоевропейских языках случаи 1 и 3 соответствуют номинативу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первичной функцией которого является случай 1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вторичной — случай 3.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 славянских языках в функции сказуемого частично выступает инструменталь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связи с чем возникает семантическая проблема разграничения номинатива и инструменталя. Существительное в роли приложения ведет себя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 сути дела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прилагательное: оно согласуется с определяемым существительным в падеже (однако не всегда в роде и числе). Падежные окончания существительного-приложения — это чисто синтаксические показатели его подчинения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выражается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 просто самим падежным окончанием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скорее согласованием этого окончания с падежным окончанием определяемого существительного. Можно было бы говорить о специальном «приложительном» падеже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окончание которого выступает в форме нескольких комбинаторных вариантов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зависящих от падежного окончания определяемого существительного.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Обзор всех возможных синтаксических функций существительного позволяет увидеть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случай 4 представляет собой специфическую область употребления падежных форм («Punkt der maximalen Kasusunterscheidung»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говорит Р. Якобсон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указ. соч. стр. 259). В качестве определений к глаголу могут употребляться несколько разных косвенных падежей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один рядом с другим; Exercitum mari supero misit «Он послал войска Адриатическим морем»; Dies circiter XV iter fecerunt «Они проделали путь приблизительно за пятнадцать дней» и т. д. Поэтому было бы неправильно пытаться определить отношения между падежами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используя повсеместно признанную и применяемую коммутацию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когда речь идет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 семантических отношениях между производящими и производными словами или вообще между формами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принадлежащими к одному и тому же синтаксическому классу. Синтаксическое отношение между château «замок» и châtelet «маленький замок» (или между château ед. ч. и châteaux мн. ч.) позволяет осуществлять анализ посредством подстановки одной формы вместо другой в любую синтаксическую конфигурацию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 Le château brule «Замок горит» : Le châtelet brule «Маленький замок горит»; Le toit du château «крыша замка» : Le toit du châtelet «крыша маленького замка» и т. д. Однако две или несколько падежных форм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определяющих глагол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принадлежат в зависимости от их более центральной или более периферийной позиции к различным синтаксическим классам. Выше мы видели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Он прыгает на стол не может быть получено из Он прыгает на столе (или наоборот) простой коммутацией на столе &gt; на стол (или наоборот)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потому что на стол и на столе занимают разные места внутри глагольной группы. Первое выражение можно представить в виде (прыгает на стол)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второе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в виде (прыгает — ) на столе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незанятым остается место центрального определяющего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тогда как в (прыгает на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стол)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хватает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периферийного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определяющего. Различие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функциями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(значением)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производных и семантических категорий вообще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также между значением падежей и синтаксических категорий вообще — это различие между вертикальными и горизонтальны отношениями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можно графически проиллюстрировать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образом:</w:t>
      </w:r>
    </w:p>
    <w:tbl>
      <w:tblPr>
        <w:tblW w:w="123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5"/>
        <w:gridCol w:w="7200"/>
      </w:tblGrid>
      <w:tr w:rsidR="00A85459" w:rsidRPr="007E6F39" w:rsidTr="009977BE">
        <w:trPr>
          <w:tblCellSpacing w:w="0" w:type="dxa"/>
        </w:trPr>
        <w:tc>
          <w:tcPr>
            <w:tcW w:w="5175" w:type="dxa"/>
          </w:tcPr>
          <w:p w:rsidR="00A85459" w:rsidRPr="007E6F39" w:rsidRDefault="00A85459" w:rsidP="009977BE">
            <w:pPr>
              <w:widowControl/>
              <w:spacing w:before="12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5459" w:rsidRPr="007E6F39" w:rsidRDefault="00A85459" w:rsidP="009977BE">
            <w:pPr>
              <w:widowControl/>
              <w:spacing w:before="120"/>
              <w:ind w:left="0" w:firstLine="567"/>
              <w:rPr>
                <w:sz w:val="24"/>
                <w:szCs w:val="24"/>
                <w:lang w:val="en-US"/>
              </w:rPr>
            </w:pPr>
            <w:r w:rsidRPr="007E6F39">
              <w:rPr>
                <w:sz w:val="24"/>
                <w:szCs w:val="24"/>
                <w:lang w:val="en-US"/>
              </w:rPr>
              <w:t>le château brule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7E6F39">
              <w:rPr>
                <w:sz w:val="24"/>
                <w:szCs w:val="24"/>
                <w:lang w:val="en-US"/>
              </w:rPr>
              <w:t>le toit du château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A85459" w:rsidRPr="007E6F39" w:rsidRDefault="00A85459" w:rsidP="009977BE">
            <w:pPr>
              <w:widowControl/>
              <w:spacing w:before="120"/>
              <w:ind w:left="0" w:firstLine="567"/>
              <w:rPr>
                <w:sz w:val="24"/>
                <w:szCs w:val="24"/>
                <w:lang w:val="en-US"/>
              </w:rPr>
            </w:pPr>
            <w:r w:rsidRPr="007E6F39">
              <w:rPr>
                <w:sz w:val="24"/>
                <w:szCs w:val="24"/>
                <w:lang w:val="en-US"/>
              </w:rPr>
              <w:t>le châtelet brule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7E6F39">
              <w:rPr>
                <w:sz w:val="24"/>
                <w:szCs w:val="24"/>
                <w:lang w:val="en-US"/>
              </w:rPr>
              <w:t xml:space="preserve">le toit du châtelet </w:t>
            </w:r>
          </w:p>
          <w:p w:rsidR="00A85459" w:rsidRPr="007E6F39" w:rsidRDefault="00A85459" w:rsidP="009977BE">
            <w:pPr>
              <w:widowControl/>
              <w:spacing w:before="120"/>
              <w:ind w:left="0" w:firstLine="567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>(Он прыгает на стол) в комнате</w:t>
            </w:r>
          </w:p>
        </w:tc>
        <w:tc>
          <w:tcPr>
            <w:tcW w:w="7200" w:type="dxa"/>
          </w:tcPr>
          <w:p w:rsidR="00A85459" w:rsidRPr="007E6F39" w:rsidRDefault="00A85459" w:rsidP="009977BE">
            <w:pPr>
              <w:widowControl/>
              <w:spacing w:before="120"/>
              <w:ind w:left="0" w:firstLine="567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>(отношение между</w:t>
            </w:r>
            <w:r>
              <w:rPr>
                <w:sz w:val="24"/>
                <w:szCs w:val="24"/>
              </w:rPr>
              <w:t xml:space="preserve"> </w:t>
            </w:r>
            <w:r w:rsidRPr="007E6F39">
              <w:rPr>
                <w:sz w:val="24"/>
                <w:szCs w:val="24"/>
              </w:rPr>
              <w:t>château и</w:t>
            </w:r>
            <w:r>
              <w:rPr>
                <w:sz w:val="24"/>
                <w:szCs w:val="24"/>
              </w:rPr>
              <w:t xml:space="preserve"> </w:t>
            </w:r>
            <w:r w:rsidRPr="007E6F39">
              <w:rPr>
                <w:sz w:val="24"/>
                <w:szCs w:val="24"/>
              </w:rPr>
              <w:t>châtelet в</w:t>
            </w:r>
            <w:r>
              <w:rPr>
                <w:sz w:val="24"/>
                <w:szCs w:val="24"/>
              </w:rPr>
              <w:t xml:space="preserve"> </w:t>
            </w:r>
            <w:r w:rsidRPr="007E6F39">
              <w:rPr>
                <w:sz w:val="24"/>
                <w:szCs w:val="24"/>
              </w:rPr>
              <w:t>одинаковых синтаксических условиях) (отношение между на стол и в комнате</w:t>
            </w:r>
            <w:r>
              <w:rPr>
                <w:sz w:val="24"/>
                <w:szCs w:val="24"/>
              </w:rPr>
              <w:t xml:space="preserve">, </w:t>
            </w:r>
            <w:r w:rsidRPr="007E6F39">
              <w:rPr>
                <w:sz w:val="24"/>
                <w:szCs w:val="24"/>
              </w:rPr>
              <w:t>причем в комнате эквивалентно</w:t>
            </w:r>
            <w:r>
              <w:rPr>
                <w:sz w:val="24"/>
                <w:szCs w:val="24"/>
              </w:rPr>
              <w:t xml:space="preserve">, </w:t>
            </w:r>
            <w:r w:rsidRPr="007E6F39">
              <w:rPr>
                <w:sz w:val="24"/>
                <w:szCs w:val="24"/>
              </w:rPr>
              <w:t>с синтаксической точки</w:t>
            </w:r>
            <w:r>
              <w:rPr>
                <w:sz w:val="24"/>
                <w:szCs w:val="24"/>
              </w:rPr>
              <w:t xml:space="preserve">, </w:t>
            </w:r>
            <w:r w:rsidRPr="007E6F39">
              <w:rPr>
                <w:sz w:val="24"/>
                <w:szCs w:val="24"/>
              </w:rPr>
              <w:t>выражению на столе)</w:t>
            </w:r>
          </w:p>
        </w:tc>
      </w:tr>
    </w:tbl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Именно поэтому не следует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определяя синтаксические значения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прибегать к семантическому противопоставлению с нейтральным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позитивным и негативным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членами.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попытки дать научно адекватную классификацию падежей весьма ценны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мы не можем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предложенные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Ельмслевом1 и Р.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Якобсоном.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Встречаются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правда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вертикальные противопоставления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аккузатива и генитива-партитива в польском (и в русском): Дай нам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_________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 Мы убеждены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Ельмслев вернулся к своим старым позициям: еще в 1938 году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ходе одной из фонологических дискуссий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он высказал мнение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«различие классов первично по отношению к диакритической значимости»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фонемы. Следовательно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содержания синтаксические различия первичны по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отношению к различиям семантическим и что семантические различия должны устанавливаться только в пределах одного и того же синтаксического класса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между формами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изофункциональными с синтаксической точки зрения.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(donne-nous le pain или un pain) и Дай нам хлеба (donne-nous du pain)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уже из французского перевода видно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это примеры весьма специального семантического противопоставления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которое основано на более существенном синтаксическом различии (между приглагольным аккузативом и приименным генитивом).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Уничтожение синтаксического различия между этими двумя падежами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употребление генитива на месте аккузатива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порождает особое семантическое значение» которое является вторичным по отношению к основному различию синтаксических классов (приглагольный падеж : приименной падеж). В нашем примере речь идет об оттенках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связанных с употреблением (во французском) артикля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об оттенках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 имеющих синтаксической функции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затрагивающих скорее семантическое содержание существительного. Аналогичный пример чередование номинатива : инструменталя в роли именного сказуемого в разговорном польском языке. Именно так мы понимаем различие между То est krol «Это — король»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Оn est krol «Именно он — король»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Оn est krol «Он король». Нам кажется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правильный метод — определять семантические различия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если они есть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исходя из синтаксических различий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не наоборот. Тогда семантическое значение формы определяется на основе ее первичной синтаксической функции. Поэтому прежде всего надо определить значение или синтаксический класс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характерный для рассматриваемой падежной формы; уничтожение различия синтаксических классов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приводящее к семантическим различиям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— явление низшего порядка.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§4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Приглагольные падежи — это именные формы с двумя функциями: 1) конкретной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или наречной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2) грамматической. Можно представить себе падеж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имеющий только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Грамматическую функцию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такую падежную форму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которая выступала бы только в роли прямого дополнения. Однако форма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имеющая лишь наречное значение (все равно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синтетическая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аналитическая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предложный оборот)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относится к наречиям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не к падежам. Во всяком случае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мы будем различать два класса приглагольных падежей в зависимости от их первичной функции (эта классификация имеет место применительно к древним индоевропейским языкам):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грамматический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синтаксический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аккузатив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прямого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дополнения;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2) конкретные падежи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первичная функция которого является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наречной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семантической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(инструменталь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аблатив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локатив).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Можно было бы полагать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проблема системы падежей сводится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 возможности сгруппировать в соответствии с критерием семантического противопоставления конкретные падежи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относящиеся к одному и тому же синтаксическому классу. Однако если они и образуют систему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только систему наречных значений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поскольку во вторичной функции они становятся комбинаторными вариантами грамматического падежа. С другой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было бы чистой случайностью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если бы эти падежи образовывали систему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а не фрагменты системы. Объясняется это двумя причинами.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Прежде всего мы видим (§ 1)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чем бы наречное значение не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выражалось — предложным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оборотом или «синтетическим» падежом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—это роли не играет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как предлог не управляет падежной формой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является всего лишь синсемантической морфемой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подчиненной существительному. Р. Якобсон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сам рассматривает предложный падеж (на столе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столе и т. д.) вместе с «синтетическими» падежами. Решающую роль играет функция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не происхождение. Никто не будет отрицать падежный характер древнеиндийского датива только потому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эта форма содержит постпозитивный элемент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который отличает ее от датива местоимений и от датива других индоевропейских языков. Все отыменные наречия и все предложные обороты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которые могут управляться глаголами определенных семантических групп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относиться к падежам.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С другой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имеются наречия или предложные конструкции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которые никогда не управляются глаголом. Это и есть истинные наречия. Среди определений к глаголу они занимают периферийное место; с глаголом эти наречия связаны слабо — только по смыслу1. 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{[(глагол + грамматический падеж) + конкретный падеж] + наречие}. Мы видим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конкретный падеж занимает здесь промежуточное место: он колеблется между наречием и чисто синтаксической формой. Если мы ограничимся его вторичной — грамматической — функцией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получим форму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представляющую комбинаторный вариант аккузатива прямого дополнения (этот аккузатив является основным вариантом). Во вторичной функции все конкретные падежи изофункциональны 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не образуют семантической системы. Если группировать конкретные падежи по их наречным функциям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мы не можем отвлечься от функций всех прочих наречий: ведь конкретные падежи составляют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сказать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подгруппу наречий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причем эта подгруппа отличается от остальных наречий наличием вторичной функции. Другими словами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синтаксический класс конкретные падежи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занимающие промежуточное положение между грамматическим падежом и наречиями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составляют особую группу; но если мы приступаем к их систематизации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возможно лишь в том случае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если мы прибегнем к их наречному значению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мы не сможем рассматривать их иначе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подгруппу категории наречий.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Поэтому попытки систематизировать конкретные падежи какого-либо языка приводят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мы полагаем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 систематизации продуктивных наречных образований этого языка. Рассматриваемые образования могут быть синтетические или аналитические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и в том и в другом случае речь идет о наречиях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образованных от существительных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не от прилагательных (тип !ог1етеп1 «сильно»). Внутри системы этих образований конкретные падежи с их первичными функциями образуют особый сектор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который характеризуется наличием вторичной синтаксической функции.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Ни один из конкретных падежей не является сам по себе более центральным или более периферийным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чем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__________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1Если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языке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абсолютный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(ablativus absolutus в латинском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абсолютный генитив в санскрите и т. д.)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то именно он является самым периферийным определением личного глагола.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другой. В предложении II а travaille dans ce bureau quatre semaines «Он проработал в этом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бюро четыре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недели» более центральной может быть как группа quatre semaines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и группа dans ce bureau в зависимости от того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именно желательно подчеркнуть. Более или менее центральная позиция этих определительных групп быть фактом грамматики и становится фактом экспрессии или стиля. В некоторых языках для передачи подобных стилистических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оттенков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используется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порядок слов. Но порядок слов бессилен там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суть дела в различии грамматических значений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из которых одно синтаксическое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другое — семантическое. В лат. Gladio hostem occidit «Мечом врага убивает» или Hostem gladio occidit «Врага мечом убивает» аккузатив всегда является более центральным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инструменталь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потому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что подчинение аккузатива hostem глаголу occidit формально выражено окончанием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(синтаксическим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показателем)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тогда как зависимость инструменталя gladio от глагола вытекает только из семантического (наречного) значения окончания инструменталя.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Предложенную здесь систематизацию конкретных падежей вряд ли можно считать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удачной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заменой существующих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систем.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Ведь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производных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наречных образований конкретные падежи образуют квазислучайную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группу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обусловленную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вторичными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(грамматическими)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функциями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которые существуют у конкретных падежей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 отсутствуют у настоящих наречий. Имеется ли для падежей такая схема классификации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которая отражала бы их сущность и иерархию и одновременно их первичные и вторичные функции? Нам кажется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что мы можем ответить на этот вопрос утвердительно.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Конкретные падежи занимают в системе падежей подчиненное положение. Скелет системы образуют грамматические падежи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представляющие синтаксические функции. Аккузатив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падеж прямого дополнения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противопоставлен двум другим грамматическим падежам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номинативу и приименному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генитиву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образом.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Так как пассивная конструкция основана в индоевропейских языках на активной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так как лат. hostis profligatur «враг уничтожается» основано на hostem profligare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«уничтожить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врага»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номинатива (падеж подлежащего) в системе определяется его противопоставлением аккузативу (падеж прямого дополнения). Функция номинатива первична в hostis profligatur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вторична в таких словосочетаниях с непереходным глаголом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Hostis incedit «Враг наступает» или в таких именных словосочетаниях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Hostis atrox erat «Враг был жесток»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третична в словосочетаниях с переходным глаголом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Hostis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obsides necavit «Враг убил заложников».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Из сказанного не следует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будто инструменталь в свою очередь основан на номинативе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это может показаться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 рассмотрении такого противопоставления. Трехчленная пассивная конструкция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включающая наряду с объектом действия (patiens) еще и действующее лицо (agens)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отличается от соответствующей активной конструкции только в стилистическом отношении.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Лишь двучленная пассивная конструкция имеет грамматическое значение1.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инструменталя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номинативу ничем не отличается от отношения любого другого конкретного падежа к номинативу. В языках с эргативной конструкцией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основное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соотношение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таково: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эргатив (активный падеж)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абсолютный падеж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соответствует противопоставлению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субъектно- объектная конструкция:субъектная конструкция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в свою очередь соответствует индоевропейской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залога.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Поскольку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другой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субъектный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генитив и объектный генитив основаны на номинативе и аккузативе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группы secessio plebis «уход плебса» и ocissio hostis «убийство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врага»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происходят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от plebs secedit «плебс уходит» 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hostem occidere «убить врага»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можно считать: 1) что эта синтаксическая функция первична для генитива и 2) что генитив основан на номинативе и аккузативе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взятых вместе. Графически это выглядит так: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аккузатив → номинатив 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↓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генитив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__________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1Ср. Е. Курилович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Эргативность и стадиальность в языке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см. настоящий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сборник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122.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Стрелки указывают направление от основных форм к производным.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Заметим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субъектный и объектный генитивы служат основой для всех других приименных употреблений генитива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именно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для партитивного и посессивного генитива (вторичные функции)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являются конкретными употреблениями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образующими сравнительно поздний с исторической точки зрения слой (известно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 индоевропейских языках притяжательность выражалась главным образом прилагательным). При этом очень важно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во всех языках посессивный генитив продолжает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основываться на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субъектном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объектном генитиве вследствие мотивированного характера этого последнего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поскольку группа имя действия + объектный или субъектный генитив всегда происходит от группы личный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глагол + подлежащее или прямое дополнение.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Заметим также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различные приименные употребления генитива (партитивный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посессивный и т. д. генитивы)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употребления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вторичные по отношению к субъектно-объектному генитиву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служат способом косвенного определения существительного другим существительным. Прямое определение состоит в том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определяющее существительное становится путем согласования приложения к определяемому. Это доказывается различием по смыслу между deus homo «бог-человек» и deus hominis «бог человека»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различием между тождеством и отношением.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Тройка грамматических падежей и есть подлинная система индоевропейских падежей. Это основной скелет системы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которому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довольно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слабо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прикрепляются конкретные падежи; они входят в систему только благодаря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вторичной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комбинаторных вариантов аккузатива прямого дополнения. По своим же первичным функциям конкретные падежи принадлежат к семантической системе наречных производных (образованных от существительных). Речь идет о четырех падежных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формах: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инструменталь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аблатив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локатив.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С точки зрения языковой системы конкретные занимают особое положение по отношению к наречиям и к грамматическим падежам. Возникает вопрос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можно ли выделять класс форм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промежуточных между частью речи и флективными формами другой части речи. В качестве довода в пользу этого выделения можно привести следующую параллель: так называемые служебные слова тоже занимают промежуточное положение между двумя классами морфем — автосемантических и синсемантических. В каждом конкретном употреблении выступает та или иная функция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никаких промежуточных положений никогда не бывает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Il a un fils «У него есть сын»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Il a cede «Он уступил». Однако вся совокупность форм глагола зуо!г не может быть определена без учета обоих значений — автосемантического и синсемантическогр. Это заставляет нас отвести для глагола avour (вместе с глаголом etre и др.) особое место в категории глаголов. Единственно важная вещь — иерархия обеих функций. В связи с этим закономерен вопрос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почему такая падежная форма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инструменталь или локатив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является существительным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не наречием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хотя ее первичная функция— наречная. Ответ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следующий: все решается в зависимости от сферы употребления данной морфемы; если наречный суффикс обретает способность присоединяться ко всем существительным (с формальными вариантами или без них)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он становится падежным окончанием; если суффикс со значением собирательности обретает способность присоединяться к любой именной основе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он становится окончанием множественного числа.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касается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датива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грамматическая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традиция объединяет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его с падежами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имеющими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синтаксическую функцию (номинатив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генитив)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поскольку он является падежом косвенного дополнения. Термин «косвенное дополнение» оправдан там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группа г л а г о л + прямое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дополнение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управляет косвенным падежом.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Обычно это бывает датив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обозначающий лицо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которому адресуется действие (donner a «давать кому- либо»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dire a «говорить кому-либо» и т. д.). Хотя в этих конструкциях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управляется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менее нейтрален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имеет более наречный характер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аккузатив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поскольку его употребление ограничено существительными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обозначающими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лицо.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Помимо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употреблений в качестве косвенного дополнения или в качестве косвенного управляемого непереходными глаголами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например лат. auxilio «помогаю»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servio «служу» (эти употребления являются вторичными функциями датива)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датив выступает как конкретный падеж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основное значение которого соответствует значению предложной конструкции «для кого-либо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для чего-либо». Именно этим значением объясняется употребление застывшего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датива имен действия в роли инфинитива.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В стороне остается вокатив. Он имеет апеллятивную функцию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отличную от чисто репрезентативной (символической) функции других падежей. Рассматривать вокатив в той же плоскости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и другие падежные формы</w:t>
      </w:r>
      <w:r>
        <w:rPr>
          <w:sz w:val="24"/>
          <w:szCs w:val="24"/>
        </w:rPr>
        <w:t xml:space="preserve">, - </w:t>
      </w:r>
      <w:r w:rsidRPr="007E6F39">
        <w:rPr>
          <w:sz w:val="24"/>
          <w:szCs w:val="24"/>
        </w:rPr>
        <w:t>значит допускать методологический промах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аналогичный смешению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экспрессивного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употребления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междометий с символической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функцией других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частей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речи. Поэтому первая дихотомия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которой мы начнем классификацию падежей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отделит вокатив от прочих падежей.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индоевропейских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языках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грамматические падежи (номинатив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генитив) и конкретные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падежи (инструменталь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аблатив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локатив) образуются одинаково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с помощью окончаний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где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другой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конкретные падежи и предложные конструкции выполняют одни и те же наречные функции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различие между обеими группами падежей выражено не столь ярко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примером может служить классический арабский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где грамматические падежи являются «синтетическими» (номинатив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генитив</w:t>
      </w:r>
      <w:r>
        <w:rPr>
          <w:sz w:val="24"/>
          <w:szCs w:val="24"/>
        </w:rPr>
        <w:t xml:space="preserve"> - </w:t>
      </w:r>
      <w:r w:rsidRPr="007E6F39">
        <w:rPr>
          <w:sz w:val="24"/>
          <w:szCs w:val="24"/>
        </w:rPr>
        <w:t>i)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конкретные — «аналитическими».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Некоторые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глаголы управляют предложными оборотами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силу чего предложные обороты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становятся настоящими конкретными падежами с первичной наречной и со вторичной синтаксической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функцией (например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bada' a bi «начинать»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'amana bi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«верить в»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dafa'a'an «защищать»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и т. д.). 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Поскольку грамматические падежи образуют чисто синтаксическую совокупность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каждый конкретный падеж противопоставляется в силу своего наречного значения всей этой совокупности — точно так же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производное слово противопоставлено совокупности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всей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парадигмы (= основе)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производящего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слова: 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аккузатив → номинатив 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генитив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инструменталь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аблатив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локатив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Все замечания сведены в таблице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помещенной в § 5</w:t>
      </w:r>
      <w:r>
        <w:rPr>
          <w:sz w:val="24"/>
          <w:szCs w:val="24"/>
        </w:rPr>
        <w:t xml:space="preserve">, </w:t>
      </w:r>
    </w:p>
    <w:p w:rsidR="00A85459" w:rsidRPr="007E6F39" w:rsidRDefault="00A85459" w:rsidP="00A85459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7E6F39">
        <w:rPr>
          <w:b/>
          <w:sz w:val="28"/>
          <w:szCs w:val="24"/>
        </w:rPr>
        <w:t>§5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Теперь нам остается разобраться в различиях между концепциями вышеупомянутых исследователей и нашими положениями.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И Якобсон и де Гроот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первый на материале русского языка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второй — латинского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стараются подтвердить предлагаемый метод на соответствующих примерах. То же стремимся подтвердить и мы своей схемой индоевропейских падежей.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Якобсон (указ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245) соглашается с Брендалем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который оспаривал синтаксическую природу падежных форм1. Мы же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полагаем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шагом вперед в этом плане является метод де Гроота. Он пишет (указ. 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122): «Мне кажется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ситуация в действительности несколько более сложна [чем это полагают Ельмслев и Якобсон]. Падежи могут иметь как синтаксические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и семантические функции... Поэтому всегда приходится иметь дело с двумя системами функций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более или менее самостоятельными». 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Система индоевропейских падежей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1"/>
        <w:gridCol w:w="4717"/>
      </w:tblGrid>
      <w:tr w:rsidR="00A85459" w:rsidRPr="007E6F39" w:rsidTr="009977BE">
        <w:trPr>
          <w:tblCellSpacing w:w="0" w:type="dxa"/>
        </w:trPr>
        <w:tc>
          <w:tcPr>
            <w:tcW w:w="2553" w:type="pct"/>
          </w:tcPr>
          <w:p w:rsidR="00A85459" w:rsidRPr="007E6F3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>I. План обращения („Appellfunktion" по</w:t>
            </w:r>
            <w:r>
              <w:rPr>
                <w:sz w:val="24"/>
                <w:szCs w:val="24"/>
              </w:rPr>
              <w:t xml:space="preserve"> </w:t>
            </w:r>
            <w:r w:rsidRPr="007E6F39">
              <w:rPr>
                <w:sz w:val="24"/>
                <w:szCs w:val="24"/>
              </w:rPr>
              <w:t>по К. Бюлеру)</w:t>
            </w:r>
          </w:p>
          <w:p w:rsidR="00A85459" w:rsidRPr="007E6F3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>Вокатив</w:t>
            </w:r>
          </w:p>
        </w:tc>
        <w:tc>
          <w:tcPr>
            <w:tcW w:w="2447" w:type="pct"/>
          </w:tcPr>
          <w:p w:rsidR="00A8545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>II.План представления (Darstellungsfunktion" по К. Бюлеру)</w:t>
            </w:r>
          </w:p>
          <w:p w:rsidR="00A85459" w:rsidRPr="007E6F3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 См"/>
        </w:smartTagPr>
        <w:r w:rsidRPr="007E6F39">
          <w:rPr>
            <w:sz w:val="24"/>
            <w:szCs w:val="24"/>
            <w:lang w:val="en-US"/>
          </w:rPr>
          <w:t xml:space="preserve">1 </w:t>
        </w:r>
        <w:r w:rsidRPr="007E6F39">
          <w:rPr>
            <w:sz w:val="24"/>
            <w:szCs w:val="24"/>
          </w:rPr>
          <w:t>См</w:t>
        </w:r>
      </w:smartTag>
      <w:r w:rsidRPr="007E6F3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7E6F39">
        <w:rPr>
          <w:sz w:val="24"/>
          <w:szCs w:val="24"/>
          <w:lang w:val="en-US"/>
        </w:rPr>
        <w:t>«Actes du III Congres International des Linguistes»</w:t>
      </w:r>
      <w:r>
        <w:rPr>
          <w:sz w:val="24"/>
          <w:szCs w:val="24"/>
          <w:lang w:val="en-US"/>
        </w:rPr>
        <w:t xml:space="preserve">, </w:t>
      </w:r>
      <w:r w:rsidRPr="007E6F39">
        <w:rPr>
          <w:sz w:val="24"/>
          <w:szCs w:val="24"/>
        </w:rPr>
        <w:t>стр</w:t>
      </w:r>
      <w:r w:rsidRPr="007E6F39">
        <w:rPr>
          <w:sz w:val="24"/>
          <w:szCs w:val="24"/>
          <w:lang w:val="en-US"/>
        </w:rPr>
        <w:t>. 146.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2 Синтаксические функции приложения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предикатива и именной части сказуемого выражаются не падежными окончаниями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согласованием окончаний. Поэтому названные функции не представлены в таблице.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А) 1.Падеж подлежащего: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номинал </w:t>
      </w:r>
    </w:p>
    <w:p w:rsidR="00A8545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2. Приглагольные падежи1: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а) грамматический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аккузатив (первичная функция: прямое дополнение;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вторичная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функция: наречная)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б) * конкретные падежи: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5064"/>
      </w:tblGrid>
      <w:tr w:rsidR="00A85459" w:rsidRPr="007E6F39" w:rsidTr="009977BE">
        <w:trPr>
          <w:tblCellSpacing w:w="0" w:type="dxa"/>
        </w:trPr>
        <w:tc>
          <w:tcPr>
            <w:tcW w:w="2373" w:type="pct"/>
          </w:tcPr>
          <w:p w:rsidR="00A85459" w:rsidRPr="007E6F3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</w:p>
          <w:p w:rsidR="00A85459" w:rsidRPr="007E6F3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 xml:space="preserve">инструменталь2 </w:t>
            </w:r>
          </w:p>
          <w:p w:rsidR="00A85459" w:rsidRPr="007E6F3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 xml:space="preserve">датив </w:t>
            </w:r>
          </w:p>
          <w:p w:rsidR="00A85459" w:rsidRPr="007E6F3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 xml:space="preserve">аблатив </w:t>
            </w:r>
          </w:p>
          <w:p w:rsidR="00A85459" w:rsidRPr="007E6F39" w:rsidRDefault="004C7F50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66.75pt">
                  <v:imagedata r:id="rId5" o:title=""/>
                </v:shape>
              </w:pict>
            </w:r>
            <w:r w:rsidR="00A85459" w:rsidRPr="007E6F39">
              <w:rPr>
                <w:sz w:val="24"/>
                <w:szCs w:val="24"/>
              </w:rPr>
              <w:t xml:space="preserve">локатив </w:t>
            </w:r>
          </w:p>
        </w:tc>
        <w:tc>
          <w:tcPr>
            <w:tcW w:w="2627" w:type="pct"/>
          </w:tcPr>
          <w:p w:rsidR="00A85459" w:rsidRPr="007E6F39" w:rsidRDefault="00A85459" w:rsidP="009977BE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7E6F39">
              <w:rPr>
                <w:sz w:val="24"/>
                <w:szCs w:val="24"/>
              </w:rPr>
              <w:t xml:space="preserve">(первичная функция: наречная; вторичная функция: синтаксическая) </w:t>
            </w:r>
          </w:p>
        </w:tc>
      </w:tr>
    </w:tbl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Б) Приименные падежи: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а) грамматический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генитив (первичная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функция: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субъектный или объектный генитив; вторичная функция: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партитивный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поссесивный и др. генитивы*)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 xml:space="preserve">б) конкретные падежи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__________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1У приглагольных падежей синтаксическая зависимость выражается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непосредственно — формой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окончания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является тогда простым синтаксическим показателем (грамматический падеж)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косвенно — наречным значением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падежная форма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приобретает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благодаря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окончанию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(конкретные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падежи).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2 Употребление конкретных приглагольных падежей в качестве приименных определений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более или менее распространенное в различных языках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основывается на следующем развитии: личный глагол + конкретный падеж → имя действия или отглагольное прилагательное + конкретный падеж → существительное или прилагательное + конкретный падеж.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3 Вторичная функция инструменталя — соперничество с номинативом за роль именного сказуемого (в славянских языках)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благодаря чему инструменталь проникает в позицию предикатива (Якобсон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268).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4 Вторичная функция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генитива — это наречное употребление в качестве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прямого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дополнения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причем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генитив семантически противопоставлен аккузативу (примеры в русском — см. Якобсон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256 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сл.).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другое важное положение де Гроота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тесно связанное с предыдущим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— это различение центральных и периферийных позиций различных приглагольных падежей; «В предложении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содержащем существительные в различных падежах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управляемый аккузатив является первым по отношению к глаголу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управляемый датив — вторым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управляемый аблатив — третьим... (Ille mihi manu propria librum dedit «Он дал мне книгу собственной рукой») (указ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123 и ел.). Далее (указ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стр. 127) де Гроот признал преимущественно грамматический (синтаксический) характер генитива: «множество «значений* генитива объясняется отсутствием значения».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де Гроот правильно подметил общую тенденцию развития (указ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126): «Вообще говоря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эволюция элементов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подобных падежу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такова: сначала они имеют только семантическую функцию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потом — семантическую и синтаксическую функцию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наконец — исключительно синтаксическую функцию». В наших терминах это выглядит так: наречие (производное от существительного) или предложный оборот &gt; конкретный падеж &gt; грамматический падеж.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У Р. Якобсона (указ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248) различие между сильноуправляемым и слабоуправляемым аккузативом (starkregierter und schwachregierter Akkusativus) не определено формальным образом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ведь это различие между синтаксическим и в то же время центральным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и семантическим и в то же время периферийным — с другой. Мы не можем также согласиться с Якобсоном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когда на стр. 249 он говорит об аккузативе и номинативе как о маркированном и немаркированном членах семантического противопоставления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в то время как там имеет место противопоставление синтаксического характера.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На стр. 252 Якобсон пишет: «Вопрос об основных значениях падежей принадлежит учению о слове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 вопрос о частных значениях падежей — учению о словосочетании;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основное значение падежа независимо от его окружения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то время как его отдельное (-ые) значение (-я) являе(ю)тся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так сказать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комбинаторными вариантами основного значения».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Однако есть семантический контекст и синтаксический контекст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между которыми существует значительное различие. Когда конкретный падеж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выступая в роли приглагольного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становится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наречием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сказывается воздействие синтаксического контекста. Напротив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таком выражении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tete de fer (букв. «железная голова»)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действует семантический контекст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поскольку перемена значения у (de) fer «железный» обусловлена не тем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это сочетание употреблено в роли определяющего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а только специфическим значением tete «голова».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Ряд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различий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Р.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Якобсоном (указ. 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258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264)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относятся к области стиля и поэтому являются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вторичными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подчиненными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грамматическим фактам.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Самые слабые места различных трудов — неудачный анализ предложных оборотов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отсутствие отчетливого различения первичной и вторичной функции (в смысле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определенном в § 2)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отсутствие формального обоснования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 xml:space="preserve">предлагаемых схем.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Что же касается двух последних авторов (Р. Якобсон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233: де Гроот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указ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соч.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стр. 127)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из предшествующего положения ясно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что точка зрения де Гроота гораздо ближе к нашей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чем Р. Якобсона. Де Гроот различает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внутри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«падежи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синтаксической функцией» две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подгруппы: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«падежи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семантической функции» (грамматические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падежи) и «падежи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с семантической функцией» (конкретные падежи). Синтаксическая функция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конкретных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падежей вытекает из их семантического (наречного) содержания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то время как грамматические падежи с самого начала имеют первичную синтаксическую функцию.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Функции обоих видов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семантические и синтаксические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присущи плану представления (символизации)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который противопоставлен плану обращения (вокатив).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Кроме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кажется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формула</w:t>
      </w:r>
      <w:r>
        <w:rPr>
          <w:sz w:val="24"/>
          <w:szCs w:val="24"/>
        </w:rPr>
        <w:t xml:space="preserve"> </w:t>
      </w:r>
      <w:r w:rsidRPr="007E6F39">
        <w:rPr>
          <w:sz w:val="24"/>
          <w:szCs w:val="24"/>
        </w:rPr>
        <w:t>«номинатив — не определяющее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аккузатив и генитив — определяющее) не отражает подлинных взаимоотношений между грамматическими падежами. Критерии противопоставления не следует выбирать произвольно; они должны быть формальны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то есть диктоваться самим языком. Язык же представляет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альтернацию аккузатива (прямого дополнения) и номинатива в зависимости от залога (hostem profligare «уничтожать врага»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hostis profligatur «враг уничтожается»)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 другой стороны — альтернацию номинатива и аккузатива (прямого дополнения) с субъектным и объектным генитивом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в зависимости от отглагольного словообразования (plebs secedit «плебс уходит» : secessio plebis «уход плебса»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hostem occisio «убить врага» : occisio hostis «убийство врага»). Относительные операции указывают нам направление зависимостей и одновременно — соответствующие дихотомии. Аккузатив и номинатив вместе служат основанием для генитива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 xml:space="preserve">причем сам номинатив основан на аккузативе. </w:t>
      </w:r>
    </w:p>
    <w:p w:rsidR="00A85459" w:rsidRPr="007E6F39" w:rsidRDefault="00A85459" w:rsidP="00A85459">
      <w:pPr>
        <w:widowControl/>
        <w:spacing w:before="120"/>
        <w:ind w:left="0" w:firstLine="567"/>
        <w:rPr>
          <w:sz w:val="24"/>
          <w:szCs w:val="24"/>
        </w:rPr>
      </w:pPr>
      <w:r w:rsidRPr="007E6F39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подразделение отношение без локализации : отношение места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которое де Гроот ввел для конкретных падежей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является нерелевантным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поскольку эти падежи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как мы видели</w:t>
      </w:r>
      <w:r>
        <w:rPr>
          <w:sz w:val="24"/>
          <w:szCs w:val="24"/>
        </w:rPr>
        <w:t xml:space="preserve">, </w:t>
      </w:r>
      <w:r w:rsidRPr="007E6F39">
        <w:rPr>
          <w:sz w:val="24"/>
          <w:szCs w:val="24"/>
        </w:rPr>
        <w:t>связаны с системой только своей вторичной (синтаксической) функцией. По своей первичной функции они принадлежат к семантической системе наречий.</w:t>
      </w:r>
    </w:p>
    <w:p w:rsidR="00811DD4" w:rsidRDefault="00811DD4">
      <w:pPr>
        <w:widowControl/>
        <w:ind w:left="0"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81"/>
    <w:multiLevelType w:val="multilevel"/>
    <w:tmpl w:val="F2B6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9E9"/>
    <w:multiLevelType w:val="multilevel"/>
    <w:tmpl w:val="5AEC7B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397C27"/>
    <w:multiLevelType w:val="multilevel"/>
    <w:tmpl w:val="64661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04342"/>
    <w:multiLevelType w:val="hybridMultilevel"/>
    <w:tmpl w:val="7284B5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12204"/>
    <w:multiLevelType w:val="multilevel"/>
    <w:tmpl w:val="3C5AAE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1507BA"/>
    <w:multiLevelType w:val="hybridMultilevel"/>
    <w:tmpl w:val="758AA462"/>
    <w:lvl w:ilvl="0" w:tplc="5B264B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AE51D69"/>
    <w:multiLevelType w:val="multilevel"/>
    <w:tmpl w:val="FEFA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C9618D5"/>
    <w:multiLevelType w:val="hybridMultilevel"/>
    <w:tmpl w:val="5448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967362"/>
    <w:multiLevelType w:val="hybridMultilevel"/>
    <w:tmpl w:val="F8BE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AB0C74"/>
    <w:multiLevelType w:val="multilevel"/>
    <w:tmpl w:val="C00C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1CA1DCE"/>
    <w:multiLevelType w:val="multilevel"/>
    <w:tmpl w:val="607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C03BBD"/>
    <w:multiLevelType w:val="hybridMultilevel"/>
    <w:tmpl w:val="9724B1CE"/>
    <w:lvl w:ilvl="0" w:tplc="D264C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4C3EB0"/>
    <w:multiLevelType w:val="hybridMultilevel"/>
    <w:tmpl w:val="0419000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47CA89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0"/>
      </w:rPr>
    </w:lvl>
  </w:abstractNum>
  <w:abstractNum w:abstractNumId="13">
    <w:nsid w:val="212718BA"/>
    <w:multiLevelType w:val="multilevel"/>
    <w:tmpl w:val="BE2AE0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EC6891"/>
    <w:multiLevelType w:val="multilevel"/>
    <w:tmpl w:val="23B2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A009C"/>
    <w:multiLevelType w:val="multilevel"/>
    <w:tmpl w:val="022E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2A6A35"/>
    <w:multiLevelType w:val="hybridMultilevel"/>
    <w:tmpl w:val="6EE82AF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7">
    <w:nsid w:val="2DD92B40"/>
    <w:multiLevelType w:val="multilevel"/>
    <w:tmpl w:val="D82C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D01567"/>
    <w:multiLevelType w:val="multilevel"/>
    <w:tmpl w:val="9CC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110BC"/>
    <w:multiLevelType w:val="multilevel"/>
    <w:tmpl w:val="55D2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44F35"/>
    <w:multiLevelType w:val="hybridMultilevel"/>
    <w:tmpl w:val="254C1BD0"/>
    <w:lvl w:ilvl="0" w:tplc="F5D80FF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42A02829"/>
    <w:multiLevelType w:val="multilevel"/>
    <w:tmpl w:val="1512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66C7D"/>
    <w:multiLevelType w:val="hybridMultilevel"/>
    <w:tmpl w:val="6316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612BF0"/>
    <w:multiLevelType w:val="multilevel"/>
    <w:tmpl w:val="766A425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F1E79E8"/>
    <w:multiLevelType w:val="hybridMultilevel"/>
    <w:tmpl w:val="FA94C8C6"/>
    <w:lvl w:ilvl="0" w:tplc="EDC4168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A74E4"/>
    <w:multiLevelType w:val="multilevel"/>
    <w:tmpl w:val="31B8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B36302"/>
    <w:multiLevelType w:val="multilevel"/>
    <w:tmpl w:val="3D1E3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C5398B"/>
    <w:multiLevelType w:val="multilevel"/>
    <w:tmpl w:val="AA32E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96642"/>
    <w:multiLevelType w:val="multilevel"/>
    <w:tmpl w:val="8FA2D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C37908"/>
    <w:multiLevelType w:val="multilevel"/>
    <w:tmpl w:val="06647E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22"/>
  </w:num>
  <w:num w:numId="5">
    <w:abstractNumId w:val="26"/>
  </w:num>
  <w:num w:numId="6">
    <w:abstractNumId w:val="13"/>
  </w:num>
  <w:num w:numId="7">
    <w:abstractNumId w:val="29"/>
  </w:num>
  <w:num w:numId="8">
    <w:abstractNumId w:val="1"/>
  </w:num>
  <w:num w:numId="9">
    <w:abstractNumId w:val="4"/>
  </w:num>
  <w:num w:numId="10">
    <w:abstractNumId w:val="17"/>
  </w:num>
  <w:num w:numId="11">
    <w:abstractNumId w:val="2"/>
  </w:num>
  <w:num w:numId="12">
    <w:abstractNumId w:val="27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23"/>
  </w:num>
  <w:num w:numId="18">
    <w:abstractNumId w:val="15"/>
  </w:num>
  <w:num w:numId="19">
    <w:abstractNumId w:val="21"/>
  </w:num>
  <w:num w:numId="20">
    <w:abstractNumId w:val="18"/>
  </w:num>
  <w:num w:numId="21">
    <w:abstractNumId w:val="9"/>
  </w:num>
  <w:num w:numId="22">
    <w:abstractNumId w:val="3"/>
  </w:num>
  <w:num w:numId="23">
    <w:abstractNumId w:val="0"/>
  </w:num>
  <w:num w:numId="24">
    <w:abstractNumId w:val="6"/>
  </w:num>
  <w:num w:numId="25">
    <w:abstractNumId w:val="10"/>
  </w:num>
  <w:num w:numId="26">
    <w:abstractNumId w:val="25"/>
  </w:num>
  <w:num w:numId="27">
    <w:abstractNumId w:val="28"/>
  </w:num>
  <w:num w:numId="28">
    <w:abstractNumId w:val="20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459"/>
    <w:rsid w:val="001A35F6"/>
    <w:rsid w:val="004C7F50"/>
    <w:rsid w:val="006D4FE3"/>
    <w:rsid w:val="007E6F39"/>
    <w:rsid w:val="00811DD4"/>
    <w:rsid w:val="00987B63"/>
    <w:rsid w:val="009977BE"/>
    <w:rsid w:val="00A85459"/>
    <w:rsid w:val="00D1440E"/>
    <w:rsid w:val="00D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9258C89-F86F-4F88-856F-B00A10E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85459"/>
    <w:pPr>
      <w:widowControl w:val="0"/>
      <w:ind w:left="40"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85459"/>
    <w:pPr>
      <w:keepNext/>
      <w:widowControl/>
      <w:spacing w:before="240" w:after="60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5459"/>
    <w:pPr>
      <w:keepNext/>
      <w:widowControl/>
      <w:spacing w:before="240" w:after="60"/>
      <w:ind w:left="0"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5459"/>
    <w:pPr>
      <w:keepNext/>
      <w:widowControl/>
      <w:spacing w:before="240" w:after="60"/>
      <w:ind w:left="0"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5459"/>
    <w:pPr>
      <w:keepNext/>
      <w:widowControl/>
      <w:ind w:left="0" w:firstLine="0"/>
      <w:jc w:val="center"/>
      <w:outlineLvl w:val="3"/>
    </w:pPr>
    <w:rPr>
      <w:b/>
      <w:bCs/>
      <w:sz w:val="30"/>
      <w:szCs w:val="24"/>
    </w:rPr>
  </w:style>
  <w:style w:type="paragraph" w:styleId="6">
    <w:name w:val="heading 6"/>
    <w:basedOn w:val="a"/>
    <w:link w:val="60"/>
    <w:uiPriority w:val="99"/>
    <w:qFormat/>
    <w:rsid w:val="00A85459"/>
    <w:pPr>
      <w:widowControl/>
      <w:spacing w:before="100" w:beforeAutospacing="1" w:after="100" w:afterAutospacing="1"/>
      <w:ind w:left="0" w:firstLine="0"/>
      <w:jc w:val="left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A85459"/>
    <w:pPr>
      <w:keepNext/>
      <w:widowControl/>
      <w:tabs>
        <w:tab w:val="left" w:pos="1260"/>
      </w:tabs>
      <w:spacing w:line="360" w:lineRule="auto"/>
      <w:ind w:left="0" w:firstLine="360"/>
      <w:outlineLvl w:val="6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85459"/>
    <w:rPr>
      <w:rFonts w:ascii="Cambria" w:hAnsi="Cambria"/>
      <w:b/>
      <w:i/>
      <w:sz w:val="28"/>
      <w:lang w:val="x-none" w:eastAsia="x-none"/>
    </w:rPr>
  </w:style>
  <w:style w:type="character" w:customStyle="1" w:styleId="30">
    <w:name w:val="Заголовок 3 Знак"/>
    <w:link w:val="3"/>
    <w:uiPriority w:val="99"/>
    <w:semiHidden/>
    <w:locked/>
    <w:rsid w:val="00A85459"/>
    <w:rPr>
      <w:rFonts w:ascii="Cambria" w:hAnsi="Cambria"/>
      <w:b/>
      <w:sz w:val="26"/>
      <w:lang w:val="x-none" w:eastAsia="x-none"/>
    </w:rPr>
  </w:style>
  <w:style w:type="character" w:customStyle="1" w:styleId="40">
    <w:name w:val="Заголовок 4 Знак"/>
    <w:link w:val="4"/>
    <w:uiPriority w:val="99"/>
    <w:locked/>
    <w:rsid w:val="00A85459"/>
    <w:rPr>
      <w:b/>
      <w:sz w:val="24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A85459"/>
    <w:rPr>
      <w:b/>
      <w:sz w:val="15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A85459"/>
    <w:rPr>
      <w:sz w:val="24"/>
      <w:lang w:val="x-none" w:eastAsia="ru-RU"/>
    </w:rPr>
  </w:style>
  <w:style w:type="character" w:styleId="a3">
    <w:name w:val="Hyperlink"/>
    <w:uiPriority w:val="99"/>
    <w:rsid w:val="00A85459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A85459"/>
    <w:rPr>
      <w:rFonts w:ascii="Arial" w:hAnsi="Arial"/>
      <w:b/>
      <w:kern w:val="32"/>
      <w:sz w:val="32"/>
      <w:lang w:val="ru-RU" w:eastAsia="ru-RU"/>
    </w:rPr>
  </w:style>
  <w:style w:type="paragraph" w:customStyle="1" w:styleId="a4">
    <w:name w:val="в тексте жирный"/>
    <w:basedOn w:val="a"/>
    <w:link w:val="a5"/>
    <w:uiPriority w:val="99"/>
    <w:rsid w:val="00A85459"/>
    <w:pPr>
      <w:widowControl/>
      <w:spacing w:before="120" w:after="120"/>
      <w:ind w:left="0" w:firstLine="567"/>
    </w:pPr>
    <w:rPr>
      <w:b/>
      <w:bCs/>
      <w:sz w:val="28"/>
      <w:szCs w:val="28"/>
    </w:rPr>
  </w:style>
  <w:style w:type="character" w:customStyle="1" w:styleId="a5">
    <w:name w:val="в тексте жирный Знак"/>
    <w:link w:val="a4"/>
    <w:uiPriority w:val="99"/>
    <w:locked/>
    <w:rsid w:val="00A85459"/>
    <w:rPr>
      <w:rFonts w:cs="Times New Roman"/>
      <w:b/>
      <w:bCs/>
      <w:sz w:val="28"/>
      <w:szCs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A85459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A85459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sid w:val="00A85459"/>
    <w:rPr>
      <w:sz w:val="24"/>
      <w:lang w:val="ru-RU" w:eastAsia="ru-RU"/>
    </w:rPr>
  </w:style>
  <w:style w:type="paragraph" w:styleId="aa">
    <w:name w:val="Normal (Web)"/>
    <w:basedOn w:val="a"/>
    <w:uiPriority w:val="99"/>
    <w:rsid w:val="00A85459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A85459"/>
    <w:rPr>
      <w:sz w:val="24"/>
      <w:lang w:val="ru-RU" w:eastAsia="ru-RU"/>
    </w:rPr>
  </w:style>
  <w:style w:type="character" w:styleId="ab">
    <w:name w:val="FollowedHyperlink"/>
    <w:uiPriority w:val="99"/>
    <w:rsid w:val="00A85459"/>
    <w:rPr>
      <w:rFonts w:cs="Times New Roman"/>
      <w:color w:val="800080"/>
      <w:u w:val="single"/>
    </w:rPr>
  </w:style>
  <w:style w:type="character" w:customStyle="1" w:styleId="news-date-time1">
    <w:name w:val="news-date-time1"/>
    <w:uiPriority w:val="99"/>
    <w:rsid w:val="00A85459"/>
    <w:rPr>
      <w:rFonts w:cs="Times New Roman"/>
      <w:color w:val="486DAA"/>
    </w:rPr>
  </w:style>
  <w:style w:type="paragraph" w:styleId="HTML">
    <w:name w:val="HTML Preformatted"/>
    <w:basedOn w:val="a"/>
    <w:link w:val="HTML0"/>
    <w:uiPriority w:val="99"/>
    <w:rsid w:val="00A85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styleId="ac">
    <w:name w:val="Emphasis"/>
    <w:uiPriority w:val="99"/>
    <w:qFormat/>
    <w:rsid w:val="00A85459"/>
    <w:rPr>
      <w:rFonts w:cs="Times New Roman"/>
      <w:i/>
      <w:iCs/>
    </w:rPr>
  </w:style>
  <w:style w:type="character" w:customStyle="1" w:styleId="HTML0">
    <w:name w:val="Стандартный HTML Знак"/>
    <w:link w:val="HTML"/>
    <w:uiPriority w:val="99"/>
    <w:locked/>
    <w:rsid w:val="00A85459"/>
    <w:rPr>
      <w:rFonts w:ascii="Courier New" w:hAnsi="Courier New"/>
      <w:lang w:val="ru-RU" w:eastAsia="ru-RU"/>
    </w:rPr>
  </w:style>
  <w:style w:type="character" w:styleId="ad">
    <w:name w:val="Strong"/>
    <w:uiPriority w:val="99"/>
    <w:qFormat/>
    <w:rsid w:val="00A85459"/>
    <w:rPr>
      <w:rFonts w:cs="Times New Roman"/>
      <w:b/>
      <w:bCs/>
    </w:rPr>
  </w:style>
  <w:style w:type="character" w:customStyle="1" w:styleId="articleseperator">
    <w:name w:val="article_seperator"/>
    <w:uiPriority w:val="99"/>
    <w:rsid w:val="00A85459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85459"/>
    <w:pPr>
      <w:widowControl/>
      <w:tabs>
        <w:tab w:val="left" w:pos="1260"/>
      </w:tabs>
      <w:spacing w:line="360" w:lineRule="auto"/>
      <w:ind w:left="0" w:firstLine="0"/>
    </w:pPr>
    <w:rPr>
      <w:sz w:val="30"/>
      <w:szCs w:val="24"/>
    </w:rPr>
  </w:style>
  <w:style w:type="paragraph" w:styleId="21">
    <w:name w:val="Body Text Indent 2"/>
    <w:basedOn w:val="a"/>
    <w:link w:val="22"/>
    <w:uiPriority w:val="99"/>
    <w:semiHidden/>
    <w:rsid w:val="00A85459"/>
    <w:pPr>
      <w:widowControl/>
      <w:tabs>
        <w:tab w:val="left" w:pos="1260"/>
      </w:tabs>
      <w:spacing w:line="360" w:lineRule="auto"/>
      <w:ind w:left="0" w:firstLine="360"/>
    </w:pPr>
    <w:rPr>
      <w:sz w:val="30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A85459"/>
    <w:rPr>
      <w:sz w:val="24"/>
      <w:lang w:val="x-none" w:eastAsia="ru-RU"/>
    </w:rPr>
  </w:style>
  <w:style w:type="paragraph" w:styleId="33">
    <w:name w:val="Body Text Indent 3"/>
    <w:basedOn w:val="a"/>
    <w:link w:val="34"/>
    <w:uiPriority w:val="99"/>
    <w:semiHidden/>
    <w:rsid w:val="00A85459"/>
    <w:pPr>
      <w:widowControl/>
      <w:tabs>
        <w:tab w:val="left" w:pos="1260"/>
      </w:tabs>
      <w:spacing w:line="360" w:lineRule="auto"/>
      <w:ind w:left="900" w:hanging="900"/>
    </w:pPr>
    <w:rPr>
      <w:b/>
      <w:bCs/>
      <w:i/>
      <w:iCs/>
      <w:spacing w:val="20"/>
      <w:sz w:val="32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85459"/>
    <w:rPr>
      <w:sz w:val="24"/>
      <w:lang w:val="x-none" w:eastAsia="ru-RU"/>
    </w:rPr>
  </w:style>
  <w:style w:type="paragraph" w:styleId="ae">
    <w:name w:val="footnote text"/>
    <w:basedOn w:val="a"/>
    <w:link w:val="af"/>
    <w:uiPriority w:val="99"/>
    <w:rsid w:val="00A85459"/>
    <w:pPr>
      <w:widowControl/>
      <w:ind w:left="0" w:firstLine="0"/>
      <w:jc w:val="left"/>
    </w:pPr>
  </w:style>
  <w:style w:type="character" w:customStyle="1" w:styleId="34">
    <w:name w:val="Основной текст с отступом 3 Знак"/>
    <w:link w:val="33"/>
    <w:uiPriority w:val="99"/>
    <w:semiHidden/>
    <w:locked/>
    <w:rsid w:val="00A85459"/>
    <w:rPr>
      <w:b/>
      <w:i/>
      <w:spacing w:val="20"/>
      <w:sz w:val="24"/>
      <w:lang w:val="x-none" w:eastAsia="ru-RU"/>
    </w:rPr>
  </w:style>
  <w:style w:type="character" w:styleId="af0">
    <w:name w:val="footnote reference"/>
    <w:uiPriority w:val="99"/>
    <w:semiHidden/>
    <w:rsid w:val="00A85459"/>
    <w:rPr>
      <w:vertAlign w:val="superscript"/>
    </w:rPr>
  </w:style>
  <w:style w:type="character" w:customStyle="1" w:styleId="af">
    <w:name w:val="Текст сноски Знак"/>
    <w:link w:val="ae"/>
    <w:uiPriority w:val="99"/>
    <w:locked/>
    <w:rsid w:val="00A85459"/>
    <w:rPr>
      <w:lang w:val="x-none" w:eastAsia="x-none"/>
    </w:rPr>
  </w:style>
  <w:style w:type="character" w:customStyle="1" w:styleId="apple-style-span">
    <w:name w:val="apple-style-span"/>
    <w:uiPriority w:val="99"/>
    <w:rsid w:val="00A85459"/>
    <w:rPr>
      <w:rFonts w:cs="Times New Roman"/>
    </w:rPr>
  </w:style>
  <w:style w:type="character" w:customStyle="1" w:styleId="apple-converted-space">
    <w:name w:val="apple-converted-space"/>
    <w:uiPriority w:val="99"/>
    <w:rsid w:val="00A85459"/>
    <w:rPr>
      <w:rFonts w:cs="Times New Roman"/>
    </w:rPr>
  </w:style>
  <w:style w:type="character" w:customStyle="1" w:styleId="af1">
    <w:name w:val="пример"/>
    <w:uiPriority w:val="99"/>
    <w:rsid w:val="00A85459"/>
    <w:rPr>
      <w:rFonts w:cs="Times New Roman"/>
    </w:rPr>
  </w:style>
  <w:style w:type="character" w:customStyle="1" w:styleId="af2">
    <w:name w:val="выделение"/>
    <w:uiPriority w:val="99"/>
    <w:rsid w:val="00A85459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A85459"/>
    <w:pPr>
      <w:widowControl/>
      <w:spacing w:after="120" w:line="480" w:lineRule="auto"/>
      <w:ind w:left="0" w:firstLine="0"/>
      <w:jc w:val="left"/>
    </w:pPr>
    <w:rPr>
      <w:sz w:val="24"/>
      <w:szCs w:val="24"/>
    </w:rPr>
  </w:style>
  <w:style w:type="character" w:styleId="af3">
    <w:name w:val="page number"/>
    <w:uiPriority w:val="99"/>
    <w:rsid w:val="00A85459"/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A85459"/>
    <w:rPr>
      <w:sz w:val="24"/>
      <w:lang w:val="x-none" w:eastAsia="x-none"/>
    </w:rPr>
  </w:style>
  <w:style w:type="character" w:customStyle="1" w:styleId="p5">
    <w:name w:val="p5"/>
    <w:uiPriority w:val="99"/>
    <w:rsid w:val="00A85459"/>
  </w:style>
  <w:style w:type="paragraph" w:styleId="af4">
    <w:name w:val="TOC Heading"/>
    <w:basedOn w:val="1"/>
    <w:next w:val="a"/>
    <w:uiPriority w:val="99"/>
    <w:qFormat/>
    <w:rsid w:val="00A8545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A85459"/>
    <w:pPr>
      <w:widowControl/>
      <w:ind w:left="0" w:firstLine="0"/>
      <w:jc w:val="left"/>
    </w:pPr>
    <w:rPr>
      <w:sz w:val="24"/>
      <w:szCs w:val="24"/>
    </w:rPr>
  </w:style>
  <w:style w:type="paragraph" w:styleId="af5">
    <w:name w:val="Body Text"/>
    <w:basedOn w:val="a"/>
    <w:link w:val="af6"/>
    <w:uiPriority w:val="99"/>
    <w:rsid w:val="00A85459"/>
    <w:pPr>
      <w:widowControl/>
      <w:spacing w:after="120"/>
      <w:ind w:left="0" w:firstLine="0"/>
      <w:jc w:val="left"/>
    </w:pPr>
    <w:rPr>
      <w:sz w:val="24"/>
      <w:szCs w:val="24"/>
    </w:rPr>
  </w:style>
  <w:style w:type="paragraph" w:styleId="af7">
    <w:name w:val="Body Text Indent"/>
    <w:basedOn w:val="a"/>
    <w:link w:val="af8"/>
    <w:uiPriority w:val="99"/>
    <w:rsid w:val="00A85459"/>
    <w:pPr>
      <w:widowControl/>
      <w:spacing w:after="120"/>
      <w:ind w:left="360" w:firstLine="0"/>
      <w:jc w:val="left"/>
    </w:pPr>
    <w:rPr>
      <w:sz w:val="24"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A85459"/>
    <w:rPr>
      <w:sz w:val="24"/>
      <w:lang w:val="x-none" w:eastAsia="x-none"/>
    </w:rPr>
  </w:style>
  <w:style w:type="paragraph" w:styleId="af9">
    <w:name w:val="Balloon Text"/>
    <w:basedOn w:val="a"/>
    <w:link w:val="afa"/>
    <w:uiPriority w:val="99"/>
    <w:semiHidden/>
    <w:rsid w:val="00A85459"/>
    <w:pPr>
      <w:widowControl/>
      <w:ind w:left="0"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f8">
    <w:name w:val="Основной текст с отступом Знак"/>
    <w:link w:val="af7"/>
    <w:uiPriority w:val="99"/>
    <w:locked/>
    <w:rsid w:val="00A85459"/>
    <w:rPr>
      <w:sz w:val="24"/>
      <w:lang w:val="x-none" w:eastAsia="x-none"/>
    </w:rPr>
  </w:style>
  <w:style w:type="paragraph" w:styleId="afb">
    <w:name w:val="List Paragraph"/>
    <w:basedOn w:val="a"/>
    <w:uiPriority w:val="99"/>
    <w:qFormat/>
    <w:rsid w:val="00A8545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Текст выноски Знак"/>
    <w:link w:val="af9"/>
    <w:uiPriority w:val="99"/>
    <w:semiHidden/>
    <w:locked/>
    <w:rsid w:val="00A85459"/>
    <w:rPr>
      <w:rFonts w:ascii="Tahoma" w:eastAsia="Times New Roman" w:hAnsi="Tahoma"/>
      <w:sz w:val="16"/>
      <w:lang w:val="x-none" w:eastAsia="en-US"/>
    </w:rPr>
  </w:style>
  <w:style w:type="paragraph" w:styleId="afc">
    <w:name w:val="Plain Text"/>
    <w:basedOn w:val="a"/>
    <w:link w:val="afd"/>
    <w:uiPriority w:val="99"/>
    <w:semiHidden/>
    <w:rsid w:val="00A85459"/>
    <w:pPr>
      <w:widowControl/>
      <w:ind w:left="0" w:firstLine="0"/>
      <w:jc w:val="left"/>
    </w:pPr>
    <w:rPr>
      <w:rFonts w:ascii="Courier New" w:hAnsi="Courier New"/>
    </w:rPr>
  </w:style>
  <w:style w:type="paragraph" w:styleId="35">
    <w:name w:val="toc 3"/>
    <w:basedOn w:val="a"/>
    <w:next w:val="a"/>
    <w:autoRedefine/>
    <w:uiPriority w:val="99"/>
    <w:rsid w:val="00A85459"/>
    <w:pPr>
      <w:widowControl/>
      <w:ind w:left="480" w:firstLine="0"/>
      <w:jc w:val="left"/>
    </w:pPr>
    <w:rPr>
      <w:sz w:val="24"/>
      <w:szCs w:val="24"/>
    </w:rPr>
  </w:style>
  <w:style w:type="character" w:customStyle="1" w:styleId="afd">
    <w:name w:val="Текст Знак"/>
    <w:link w:val="afc"/>
    <w:uiPriority w:val="99"/>
    <w:semiHidden/>
    <w:locked/>
    <w:rsid w:val="00A85459"/>
    <w:rPr>
      <w:rFonts w:ascii="Courier New" w:hAnsi="Courier New"/>
      <w:lang w:val="x-none" w:eastAsia="x-none"/>
    </w:rPr>
  </w:style>
  <w:style w:type="paragraph" w:customStyle="1" w:styleId="afe">
    <w:name w:val="Знак"/>
    <w:basedOn w:val="a"/>
    <w:uiPriority w:val="99"/>
    <w:rsid w:val="00A85459"/>
    <w:pPr>
      <w:widowControl/>
      <w:spacing w:after="160" w:line="240" w:lineRule="exact"/>
      <w:ind w:left="0"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8154</Words>
  <Characters>46481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классификации падежей</vt:lpstr>
    </vt:vector>
  </TitlesOfParts>
  <Company>Home</Company>
  <LinksUpToDate>false</LinksUpToDate>
  <CharactersWithSpaces>54526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классификации падежей</dc:title>
  <dc:subject/>
  <dc:creator>User</dc:creator>
  <cp:keywords/>
  <dc:description/>
  <cp:lastModifiedBy>admin</cp:lastModifiedBy>
  <cp:revision>2</cp:revision>
  <dcterms:created xsi:type="dcterms:W3CDTF">2014-03-28T15:42:00Z</dcterms:created>
  <dcterms:modified xsi:type="dcterms:W3CDTF">2014-03-28T15:42:00Z</dcterms:modified>
</cp:coreProperties>
</file>