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85" w:rsidRPr="00C0510E" w:rsidRDefault="007F7C85" w:rsidP="007F7C85">
      <w:pPr>
        <w:spacing w:before="120"/>
        <w:jc w:val="center"/>
        <w:rPr>
          <w:rFonts w:ascii="Times New Roman" w:hAnsi="Times New Roman"/>
          <w:b/>
          <w:sz w:val="32"/>
        </w:rPr>
      </w:pPr>
      <w:r w:rsidRPr="00C0510E">
        <w:rPr>
          <w:rFonts w:ascii="Times New Roman" w:hAnsi="Times New Roman"/>
          <w:b/>
          <w:sz w:val="32"/>
        </w:rPr>
        <w:t>Профессионально важные качества лингвиста-переводчика и педагогические средства их формирования</w:t>
      </w:r>
    </w:p>
    <w:p w:rsidR="007F7C85" w:rsidRPr="00C0510E" w:rsidRDefault="007F7C85" w:rsidP="007F7C85">
      <w:pPr>
        <w:spacing w:before="120"/>
        <w:jc w:val="center"/>
        <w:rPr>
          <w:rFonts w:ascii="Times New Roman" w:hAnsi="Times New Roman"/>
          <w:sz w:val="28"/>
        </w:rPr>
      </w:pPr>
      <w:r w:rsidRPr="00C0510E">
        <w:rPr>
          <w:rFonts w:ascii="Times New Roman" w:hAnsi="Times New Roman"/>
          <w:sz w:val="28"/>
        </w:rPr>
        <w:t>М.И. Прозорова</w:t>
      </w:r>
    </w:p>
    <w:p w:rsidR="007F7C85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Рассмотрена проблема повышения качества профессиональной подготовки переводчиков. Особое значение в данном процессе отводится необходимости формирования профессионально важных качеств будущего специалиста. Автор раскрывает понятие профессионально важных качеств переводчика как психолого-педагогического феномена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излагает педагогические средства формирования данных качеств у студентов-лингвистов в процессе обучения иностранным языкам в вузе.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>The article considers the issue of enhancing the quality of interpreter professional training. A special significance in this process is attached to the necessity of developing interpreter’s professional skills. The author develops the concept of interpreter’s professional skills as a psychological and pedagogic phenomenon. The didactic means for developing students’ professional skills in the course of university training are discussed.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Для успешного выполнения профессиональной деятельности лингвист-переводчик должен обладать профессионально важными качествами (ПВК). По мнению ведущих отечественных ученых (С.Я. Батышев [1] А.В. Карпов [6]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В.Л. Марищук [7]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А.К. Маркова [8]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В.Д. Шадриков [11; 12])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функции ПВК могут выступать как собственно психические и личностные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 и биологические свойства субъекта профессиональной деятельности — соматические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морфологические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нейродинамические и др.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Те или иные биологические качества индивида будучи недостаточно развитыми могут являться противопоказаниями к той или иной профессиональной деятельности. А.В. Карпов [6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190—191] называет данные качества анти-ПВК. Структура профессиональной пригодности предполагает наличие минимального количества анти-ПВК или даже их отсутствие. Например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человек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страдающий сильным заиканием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вряд ли сможет работать устным переводчиком. К анти-ПВК переводчика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кроме того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следует отнести недоразвитие слухового анализатора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серьезные дефекты зрения. Если психические и личностные ПВК будущего специалиста — это динамическое явление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они формируемы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то ПВК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имеющие биологическую природу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поддаются формированию с трудом или не поддаются вообще.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Как определить перечень ПВК переводчика? Наиболее простым способом является их определение в рамках основных видов перевода: последовательного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синхронного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письменного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перевода с листа и т.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д. Однако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 мнению Е.Р. Поршневой [9]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перечень ПВК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установленный таким образом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является неполным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это становится очевидным в ходе синтеза ПВК путем более глубокого и всестороннего изучения функциональной структуры переводческой деятельности.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Между тем возможен и иной подход к исследованию структуры ПВК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обоснованный А.В. Карповым [6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76]. Суть логических построений этого ученого состоит в следующем: идти не от деятельности к структуре качеств личности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реализующих деятельность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от структуры личности к выявлению тех из ее качеств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выступают профессионально важными для деятельности.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Для осуществления подхода А.В. Карпова при проведении своего исследования автор данной статьи обратилась к семи сферам человека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обоснованным О.С. Гребенюком и Т.Б. Гребенюк [5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6—10]. В интеллектуальной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мотивационной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эмоциональной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регулятивной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волевой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предметно-практической и экзистенциальной сферах они выделили ключевые психические и личностные качества человека. Рассмотрев данные качества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мы определили те из них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являются профессионально важными в деятельности переводчика. Затем нам предстояло дополнить каждую из указанных сфер ПВК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выявленными в результате изучения функциональной структуры переводческой деятельности. Полученная нами классификация ПВК переводчика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показали результаты проведенного экспериментального исследования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может быть использована в целях эффективного формирования данных качеств у лингвистов-переводчиков.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Необходимость формирования у студентов ПВК переводчика в процессе профессиональной подготовки потребовала от нас обоснования и применения оптимальных педагогических средств. Что же следует понимать под педагогическими средствами?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Анализ существующих точек зрения приводит к мысли о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исследователи независимо от характера их дефиниций едины в одном. Они употребляют понятие «педагогические средства» в значении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совпадающем с категорией «орудие деятельности». Вспомним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именно в таком смысле применял понятие «средство» Л. С. Выготский в исследованиях по развитию высших психических функций. Он писал: «Примерами психологических орудий и их сложных систем могут служить язык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различные формы нумерации и счисления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мнемотехнические приспособления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алгебраическая символика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произведения искусства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письмо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схемы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диаграммы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карты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чертежи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всевозможные условные знаки и т.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д.» [3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103]. Из приведенной цитаты явствует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во-первых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понятие «психологическое орудие» применимо к управлению человеком собственным поведением и деятельностью и таковыми других людей. Во-вторых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средства управления и самоуправления поведением и деятельностью определяются как промежуточное звено в процессе воздействий человека на состояние психической сферы другого человека или самого себя. Это состояние должно рассматриваться в таких случаях как предмет его деятельности.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К педагогическим средствам следует относить и самого человека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субъекта деятельности. «Своеобразным орудием в деятельности человека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читаем мы у Т.В. Габай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может являться другой человек. Он выступает орудием по отношению к деятельности первого человека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если выполнение им совместных действий фактически относится к некоторой другой деятельности и ею мотивируется. Но он наряду с первым может быть и субъектом данной деятельности» [4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51—52]. Следовательно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под педагогическими средствами формирования ПВК переводчика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 нашей точки зрения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понимается все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можно назвать орудием психолого-педагогической деятельности: содержание учебного материала; методы и формы обучения; качества преподавателя как личности и т.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п.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Суть гуманной педагогики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отмечают Б.З. Вульфов и В.Д. Иванов [2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25]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ее средства направлены не столько на прямое воздействие на человека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сколько на стимулирование его собственной активности. Однако такая активность может быть побуждаема не извне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изнутри человека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частности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через рефлексию. Она представляет собой нравственную деятельность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труд души — «мыслящего сердца» (Гегель)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реализуемую способность анализировать себя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свои чувства или поступки. Рефлексия сама по себе не гарантирует верных педагогических решений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считают упомянутые авторы [2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26]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и они без нее маловероятны. В процессе формирования у студентов ПВК переводчика рефлексия может применяться в качестве мощного педагогического средства.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Основная часть задач по формированию ПВК переводчика у студентов-лингвистов может успешно решаться на практических занятиях по первому и второму иностранному языку. К сожалению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объем данной статьи не позволяет нам изложить все существующие педагогические средства. Перечислим некоторые из них.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С целью формирования ПВК переводчика интеллектуальной сферы в содержание учебного материала можно включить упражнения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расширяющие объем вербальной оперативной памяти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формирующие навык переключения с одного языка на другой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способность к концентрации и переключению внимания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развивающие речевую интуицию и мыслительные операции — анализ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синтез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обобщение. Ниже приведен пример упражнений на развитие устойчивости и переключаемости внимания.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Один из студентов читает страницу книги или отрывок из газеты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остальные студенты активно мешают ему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стараясь отвлечь его от чтения шумом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разговорами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остротами и др. Выполняющий упражнение должен суметь увлечься объектом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вникнуть в смысл читаемой страницы настолько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чтобы затем рассказать о прочитанном.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Вот пример еще одного упражнения. Три студента садятся лицом к своим товарищам. Преподаватель дает им по газете. По команде трое одновременно в течение 2—3 минут читают свои статьи вслух. Все слушающие должны понять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читает каждый.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Для формирования ПВК эмоциональной и регулятивной сфер могут быть использованы такие корректировочные средства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проблемные ситуации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игры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психологический тренинг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приемы аутогенной тренировки. Данные средства направлены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первую очередь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 развитие профессионально важного умения управлять своими эмоциями и осуществлять самоконтроль.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Педагогические средства формирования ПВК переводчика предметно-практической сферы имеют своей целью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первую очередь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развитие ораторских способностей и вербальной лабильности. Эффективными для поддержания навыков риторической техники являются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например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упражнения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включающие в себя задания на завершение начатых фраз при соблюдении норм грамматики и в рамках определенного стиля.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К средствам формирования ПВК переводчика мотивационной сферы следует отнести профессионально направленное содержание учебного материала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деловые игры с применением аудиовизуальных средств обучения.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Оптимальным средством формирования экзистенциальной сферы студента выступает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первую очередь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метод решения моральных дилемм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разработанных на основе дилемм Л. Кольберга [10]. Реализация данного метода предполагает проведение на занятиях деловых игр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основе которых лежат моральные ситуации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имеющие отношение к реальной профессиональной деятельности переводчика и способствующие осознанию своих мыслей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поступков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способностей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выбору профессиональной позиции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умению строить свои взаимоотношения с людьми. В качестве иллюстрации приведем пример одной из моральных дилемм.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Студентам предлагается осмыслить проблемную ситуацию. Руководитель предприятия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 котором Вы работаете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хочет быть в курсе всех дел своего иностранного партнера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переводчиком которого Вы на данный момент являетесь. С этой целью он пытается получить от Вас всю интересующую его информацию. Вы находитесь перед выбором: с одной стороны — работодатель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 другой стороны — профессиональная этика. Должны ли Вы предоставить своему работодателю всю интересующую его информацию? Должны ли Вы хранить конфиденциальность? Почему? Как Вы поступите в данной ситуации?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Результаты проведенного нами педагогического эксперимента показали статистически значимую эффективность применения предложенных автором настоящей статьи педагогических средств формирования ПВК переводчика у студентов-лингвистов в процессе профессиональной подготовки. Кроме того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мы установили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развитие ПВК переводчика в процессе обучения в вузе представляет собой гетерохронную пульсацию прогрессии восходящих и нисходящих величин. На протяжении всего процесса формирования уровни развития ПВК «плавают»: разновременно повышаются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несколько снижаются и снова повышаются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свидетельствуя о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в целом имеет место прогресс. Данная закономерность была особенно явственна на примере ПВК мотивационной сферы. Она выражалась в многократном падении и повышении уровня мотивации учебной и учебно-профессиональной деятельности.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Помимо сказанного выше было установлено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в процессе формирования ПВК переводчика у студентов-лингвистов проявляется компенсация невысокого уровня развития ПВК эмоциональной и регулятивной сферы за счет должной сформированности подобных качеств в предметно-практической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волевой и мотивационной сферах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также отмечены иные варианты данного феномена. В процессе формирования ПВК можно наблюдать компенсацию недоразвития у студентов вербального интеллекта за счет высокого уровня мотивации профессиональной деятельности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сильной воли и желания работать над собой. Психологический эффект феномена компенсации состоит в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студенты с разными уровнями развития ПВК переводчика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 дифференцированными лингвистическими и профессиональными способностями в итоге достигают одинаковой продуктивности в профессиональной переводческой деятельности. Ряд ПВК переводчика связан с параметрами профессиональной деятельности нелинейной зависимостью. Параметры профессиональной деятельности переводчика не всегда принимают наибольшие значения на максимальных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иногда уже на средних уровнях развития ПВК некоторых сфер (например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экзистенциальной). Примечательно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развитие у студентов ПВК переводчика в процессе обучения осуществляется в оптимальном варианте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когда в учебно-профессиональных ситуациях специально создаются противоречия между способностями студентов и превышающими их наличный уровень требованиями профессиональной переводческой деятельности.</w:t>
      </w:r>
    </w:p>
    <w:p w:rsidR="007F7C85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У читателя данной статьи может возникнуть вопрос: насколько эффективным окажется процесс формирования ПВК у студентов-лингвистов в условиях жесткой ограниченности времени в вузе их профессиональной подготовки? Может ли единый государственный экзамен по иностранному языку гарантировать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молодой человек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избравший для себя профессию переводчика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изначально обладает определенным уровнем развития базовых ПВК данного специалиста? Всегда ли этот исходный уровень абитуриента достаточен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чтобы за период обучения в вузе овладеть не только знаниями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и профессией переводчика? В этой связи невольно вспоминаются слова В.И. Немировича-Данченко. На вопрос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любой ли человек может стать режиссером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он ответил: «Любой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только одному потребуется для этого три года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другому тридцать лет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третьему — триста лет». Мы убеждены в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изначальным решением проблемы эффективности профессиональной подготовки переводчика является профессиональный отбор абитуриентов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поэтому необходимо сохранение и совершенствование дополнительных вступительных испытаний.</w:t>
      </w:r>
    </w:p>
    <w:p w:rsidR="007F7C85" w:rsidRPr="00C0510E" w:rsidRDefault="007F7C85" w:rsidP="007F7C85">
      <w:pPr>
        <w:spacing w:before="120"/>
        <w:jc w:val="center"/>
        <w:rPr>
          <w:rFonts w:ascii="Times New Roman" w:hAnsi="Times New Roman"/>
          <w:b/>
          <w:sz w:val="28"/>
        </w:rPr>
      </w:pPr>
      <w:r w:rsidRPr="00C0510E">
        <w:rPr>
          <w:rFonts w:ascii="Times New Roman" w:hAnsi="Times New Roman"/>
          <w:b/>
          <w:sz w:val="28"/>
        </w:rPr>
        <w:t>Список литературы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Батышев С.Я. Профессиональная педагогика. М.: Профессиональное образование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1997. 512 с.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Вульфов Б.З.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Иванов В.Д. Основы педагогики в лекциях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ситуациях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первоисточниках: Учебное пособие. М.: УРАО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1997. 288 с.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Выготский Л.С. Собр. соч.: В 6 т. / Гл. ред. А.В. Запорожец. М.: Педагогика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1982. Т. 1. 487 с.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Габай Т.В. Педагогическая психология: Учебное пособие. М.: МГУ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1995. 160 с.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Гребенюк О.С.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Гребенюк Т.Б. Основы педагогики индивидуальности: Учебное пособие. Калининград: Изд-во КГУ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2000. 572 с.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Карпов А.В. Понятие профессионально важных качеств деятельности // Психология труда: Учебник для студентов высш. учебн. заведений / Под ред. А.В. Карпова. М.: ВЛАДОС-ПРЕСС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2003. 352 с.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Марищук В.Л. Психологические основы формирования профессионально важных качеств: Автореф. дис. … д-ра психол. наук. Л.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1982. 36 с.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Маркова А.К. Психология профессионализма. М.: Знание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1996. 308 с.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Поршнева Е.Р. Базовая лингвистическая подготовка переводчика: Монография. Нижний Новгород: ННГУ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2001. 148 с.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10.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Фельдштейн Д.И. Психология развивающейся личности // Избр. психологические труды. М.: Ин-т практ. психологии; Воронеж: МОДЭК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1996. 512 с.</w:t>
      </w:r>
    </w:p>
    <w:p w:rsidR="007F7C85" w:rsidRPr="00D95230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11.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Шадриков В.Д. Проблемы системогенеза профессиональной деятельности: Монография. М.: Наука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1982. 185 с.</w:t>
      </w:r>
    </w:p>
    <w:p w:rsidR="007F7C85" w:rsidRDefault="007F7C85" w:rsidP="007F7C85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12.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Шадриков В.Д. Психология деятельности и способности человека: Учебное пособие. М.: Логос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1998. 320 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C85"/>
    <w:rsid w:val="00140C5E"/>
    <w:rsid w:val="001A35F6"/>
    <w:rsid w:val="00675676"/>
    <w:rsid w:val="007F7C85"/>
    <w:rsid w:val="00811DD4"/>
    <w:rsid w:val="00C0510E"/>
    <w:rsid w:val="00C50EEB"/>
    <w:rsid w:val="00D76F90"/>
    <w:rsid w:val="00D9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25977F-3C61-442B-9CB4-0A498135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C85"/>
    <w:rPr>
      <w:rFonts w:ascii="Book Antiqua" w:hAnsi="Book Antiqu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7C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Профессионально важные качества лингвиста-переводчика и педагогические средства их формирования</vt:lpstr>
    </vt:vector>
  </TitlesOfParts>
  <Company>Home</Company>
  <LinksUpToDate>false</LinksUpToDate>
  <CharactersWithSpaces>14761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Профессионально важные качества лингвиста-переводчика и педагогические средства их формирования</dc:title>
  <dc:subject/>
  <dc:creator>User</dc:creator>
  <cp:keywords/>
  <dc:description/>
  <cp:lastModifiedBy>admin</cp:lastModifiedBy>
  <cp:revision>2</cp:revision>
  <dcterms:created xsi:type="dcterms:W3CDTF">2014-02-20T05:16:00Z</dcterms:created>
  <dcterms:modified xsi:type="dcterms:W3CDTF">2014-02-20T05:16:00Z</dcterms:modified>
</cp:coreProperties>
</file>