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9A" w:rsidRPr="0062324D" w:rsidRDefault="0050459A" w:rsidP="0050459A">
      <w:pPr>
        <w:spacing w:before="120"/>
        <w:jc w:val="center"/>
        <w:rPr>
          <w:b/>
          <w:sz w:val="32"/>
        </w:rPr>
      </w:pPr>
      <w:r w:rsidRPr="0062324D">
        <w:rPr>
          <w:b/>
          <w:sz w:val="32"/>
        </w:rPr>
        <w:t>Производство соевой муки</w:t>
      </w:r>
    </w:p>
    <w:p w:rsidR="0050459A" w:rsidRPr="0062324D" w:rsidRDefault="0050459A" w:rsidP="0050459A">
      <w:pPr>
        <w:spacing w:before="120"/>
        <w:jc w:val="center"/>
        <w:rPr>
          <w:sz w:val="28"/>
        </w:rPr>
      </w:pPr>
      <w:r w:rsidRPr="0062324D">
        <w:rPr>
          <w:sz w:val="28"/>
        </w:rPr>
        <w:t>Асп. Худоян М.В., проф. Клыков Ю.Г.,  доц. Авакян О.А.</w:t>
      </w:r>
    </w:p>
    <w:p w:rsidR="0050459A" w:rsidRPr="0062324D" w:rsidRDefault="0050459A" w:rsidP="0050459A">
      <w:pPr>
        <w:spacing w:before="120"/>
        <w:jc w:val="center"/>
        <w:rPr>
          <w:sz w:val="28"/>
        </w:rPr>
      </w:pPr>
      <w:r w:rsidRPr="0062324D">
        <w:rPr>
          <w:sz w:val="28"/>
        </w:rPr>
        <w:t>Кафедра начертательной геометрии и черчения.</w:t>
      </w:r>
    </w:p>
    <w:p w:rsidR="0050459A" w:rsidRPr="0062324D" w:rsidRDefault="0050459A" w:rsidP="0050459A">
      <w:pPr>
        <w:spacing w:before="120"/>
        <w:jc w:val="center"/>
        <w:rPr>
          <w:sz w:val="28"/>
        </w:rPr>
      </w:pPr>
      <w:r w:rsidRPr="0062324D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Показаны возможности применения соевой муки и перспективы разработки оборудования для ее производства.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Необезжиренная соевая мука широко используется в мясных изделиях при производстве колбас, бифштексов, котлет, гамбургеров, фарша и др., а также в качестве разрыхлителя теста в хлебопекарной промышленности.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Соевая мука (необезжиренная) имеет легкий ореховый запах, цвет от желтого до кремового, не имеет бобового привкуса и обладает высокими технологическими и функциональными свойствами [1, 2]. Содержание жира в ее составе не менее 17 %, сырого белка (протеина) не менее 38 %, сырой клетчатки 3,5 %. Мука содержит большое количество витаминов (А, группы В, РР и Е), минеральные вещества (магний, кальций, йод, медь, фтор, железо).</w:t>
      </w:r>
    </w:p>
    <w:p w:rsidR="0050459A" w:rsidRPr="0062324D" w:rsidRDefault="0050459A" w:rsidP="0050459A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500 г"/>
        </w:smartTagPr>
        <w:r w:rsidRPr="0062324D">
          <w:t>500 г</w:t>
        </w:r>
      </w:smartTag>
      <w:r w:rsidRPr="0062324D">
        <w:t xml:space="preserve"> соевой муки (по содержанию белка) заменяет </w:t>
      </w:r>
      <w:smartTag w:uri="urn:schemas-microsoft-com:office:smarttags" w:element="metricconverter">
        <w:smartTagPr>
          <w:attr w:name="ProductID" w:val="1,5 кг"/>
        </w:smartTagPr>
        <w:r w:rsidRPr="0062324D">
          <w:t>1,5 кг</w:t>
        </w:r>
      </w:smartTag>
      <w:r w:rsidRPr="0062324D">
        <w:t xml:space="preserve"> говядины, </w:t>
      </w:r>
      <w:smartTag w:uri="urn:schemas-microsoft-com:office:smarttags" w:element="metricconverter">
        <w:smartTagPr>
          <w:attr w:name="ProductID" w:val="2,5 кг"/>
        </w:smartTagPr>
        <w:r w:rsidRPr="0062324D">
          <w:t>2,5 кг</w:t>
        </w:r>
      </w:smartTag>
      <w:r w:rsidRPr="0062324D">
        <w:t xml:space="preserve"> хлеба, 40 куриных яиц или 32 стакана молока.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В настоящее время во всем мире практически во всех странах с развитой промышленностью широко применяют продукты, получаемые при переработке соевого боба. К ассортименту мясных продуктов относятся все виды колбас, консервы с длительным сроком хранения (стерилизованные) и ограниченным сроком хранения (пастеризованные) и так далее.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В промышленном производстве пищевых продуктов применение белков, получаемых в процессе переработки соевого боба, дает следующие основные эффекты: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повышается питательная и биологическая ценность конечного продукта, а также благодаря свойствам соевых белков усвояемость всех белков, содержащихся в продукте;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снижается себестоимость, повышается качество, обеспечивается стандартность серии, уменьшаются производственные потери;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улучшается внешний вид и органолептические свойства пищевых продуктов благодаря исключительным функциональным свойствам соевых белков.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Путем применения различных технологических способов переработки соевых бобов получают соевые продукты (белковые препараты), содержащие примерно белков, %: 50 – обезжиренная соевая мука и крупка, текстурированные соевые белки из муки: 70 – соевые концентраты и текстурированные концентраты; 90 – соевые изоляты (изолированные соевые белки).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По данным компании CARGILL B.V., соевая мука – порошкообразная сыпучая масса отличного качества. Она обладает высокими функциональными свойствами, подвергается полной термической обработке, что обеспечивает продукту низкую растворимость белка и минимальную ферментную активность.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CARGILL B.V. (Амстердам) в своей производственной программе содержит палитру различных обезжиренных соевых продуктов типа муки и крупки. Общая информация об их составе приведена в таблице.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Физические характеристики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7"/>
        <w:gridCol w:w="6427"/>
      </w:tblGrid>
      <w:tr w:rsidR="0050459A" w:rsidRPr="0062324D" w:rsidTr="00FF01E9">
        <w:trPr>
          <w:trHeight w:val="271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Внешний вид/текстура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Сухая, однородная сыпучая масса.</w:t>
            </w:r>
          </w:p>
        </w:tc>
      </w:tr>
      <w:tr w:rsidR="0050459A" w:rsidRPr="0062324D" w:rsidTr="00FF01E9">
        <w:trPr>
          <w:trHeight w:val="307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Цвет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Светло-кремовый</w:t>
            </w:r>
          </w:p>
        </w:tc>
      </w:tr>
      <w:tr w:rsidR="0050459A" w:rsidRPr="0062324D" w:rsidTr="00FF01E9">
        <w:trPr>
          <w:trHeight w:val="480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Вкус и запах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Мягкие, свойственны для данного вида соевой муки, без посторонних привкусов и запахов</w:t>
            </w:r>
          </w:p>
        </w:tc>
      </w:tr>
      <w:tr w:rsidR="0050459A" w:rsidRPr="0062324D" w:rsidTr="00FF01E9">
        <w:trPr>
          <w:trHeight w:val="480"/>
        </w:trPr>
        <w:tc>
          <w:tcPr>
            <w:tcW w:w="1739" w:type="pct"/>
          </w:tcPr>
          <w:p w:rsidR="0050459A" w:rsidRDefault="0050459A" w:rsidP="00FF01E9">
            <w:r w:rsidRPr="0062324D">
              <w:t>Грануляция:</w:t>
            </w:r>
            <w:r>
              <w:t xml:space="preserve"> </w:t>
            </w:r>
            <w:r w:rsidRPr="0062324D">
              <w:t>крупки</w:t>
            </w:r>
          </w:p>
          <w:p w:rsidR="0050459A" w:rsidRPr="0062324D" w:rsidRDefault="0050459A" w:rsidP="00FF01E9">
            <w:r w:rsidRPr="0062324D">
              <w:t>муки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40 до 80 меш (</w:t>
            </w:r>
            <w:smartTag w:uri="urn:schemas-microsoft-com:office:smarttags" w:element="metricconverter">
              <w:smartTagPr>
                <w:attr w:name="ProductID" w:val="0,300 мм"/>
              </w:smartTagPr>
              <w:r w:rsidRPr="0062324D">
                <w:t>0,300 мм</w:t>
              </w:r>
            </w:smartTag>
            <w:r w:rsidRPr="0062324D">
              <w:t>)</w:t>
            </w:r>
          </w:p>
          <w:p w:rsidR="0050459A" w:rsidRPr="0062324D" w:rsidRDefault="0050459A" w:rsidP="00FF01E9">
            <w:r w:rsidRPr="0062324D">
              <w:t>200 и 300 меш (</w:t>
            </w:r>
            <w:smartTag w:uri="urn:schemas-microsoft-com:office:smarttags" w:element="metricconverter">
              <w:smartTagPr>
                <w:attr w:name="ProductID" w:val="0,074 мм"/>
              </w:smartTagPr>
              <w:r w:rsidRPr="0062324D">
                <w:t>0,074 мм</w:t>
              </w:r>
            </w:smartTag>
            <w:r w:rsidRPr="0062324D">
              <w:t>)</w:t>
            </w:r>
          </w:p>
        </w:tc>
      </w:tr>
      <w:tr w:rsidR="0050459A" w:rsidRPr="0062324D" w:rsidTr="00FF01E9">
        <w:trPr>
          <w:trHeight w:val="259"/>
        </w:trPr>
        <w:tc>
          <w:tcPr>
            <w:tcW w:w="5000" w:type="pct"/>
            <w:gridSpan w:val="2"/>
          </w:tcPr>
          <w:p w:rsidR="0050459A" w:rsidRPr="0062324D" w:rsidRDefault="0050459A" w:rsidP="00FF01E9">
            <w:r w:rsidRPr="0062324D">
              <w:t>Химический состав, %</w:t>
            </w:r>
          </w:p>
        </w:tc>
      </w:tr>
      <w:tr w:rsidR="0050459A" w:rsidRPr="0062324D" w:rsidTr="00FF01E9">
        <w:trPr>
          <w:trHeight w:val="500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Белок (N</w:t>
            </w:r>
            <w:r w:rsidRPr="0062324D">
              <w:sym w:font="Symbol" w:char="F0D7"/>
            </w:r>
            <w:r w:rsidRPr="0062324D">
              <w:t>6.25)(на сухую основу)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54</w:t>
            </w:r>
          </w:p>
        </w:tc>
      </w:tr>
      <w:tr w:rsidR="0050459A" w:rsidRPr="0062324D" w:rsidTr="00FF01E9">
        <w:trPr>
          <w:trHeight w:val="171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Влажность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8</w:t>
            </w:r>
          </w:p>
        </w:tc>
      </w:tr>
      <w:tr w:rsidR="0050459A" w:rsidRPr="0062324D" w:rsidTr="00FF01E9">
        <w:trPr>
          <w:trHeight w:val="190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Жиромасла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1,5</w:t>
            </w:r>
          </w:p>
        </w:tc>
      </w:tr>
      <w:tr w:rsidR="0050459A" w:rsidRPr="0062324D" w:rsidTr="00FF01E9">
        <w:trPr>
          <w:trHeight w:val="221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Клетчатка (волокна)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3,5 – 4,5</w:t>
            </w:r>
          </w:p>
        </w:tc>
      </w:tr>
      <w:tr w:rsidR="0050459A" w:rsidRPr="0062324D" w:rsidTr="00FF01E9">
        <w:trPr>
          <w:trHeight w:val="226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Золы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 xml:space="preserve">6 – 7 </w:t>
            </w:r>
          </w:p>
        </w:tc>
      </w:tr>
      <w:tr w:rsidR="0050459A" w:rsidRPr="0062324D" w:rsidTr="00FF01E9">
        <w:trPr>
          <w:trHeight w:val="257"/>
        </w:trPr>
        <w:tc>
          <w:tcPr>
            <w:tcW w:w="1739" w:type="pct"/>
          </w:tcPr>
          <w:p w:rsidR="0050459A" w:rsidRPr="0062324D" w:rsidRDefault="0050459A" w:rsidP="00FF01E9">
            <w:r w:rsidRPr="0062324D">
              <w:t>Углеводы</w:t>
            </w:r>
          </w:p>
        </w:tc>
        <w:tc>
          <w:tcPr>
            <w:tcW w:w="3261" w:type="pct"/>
          </w:tcPr>
          <w:p w:rsidR="0050459A" w:rsidRPr="0062324D" w:rsidRDefault="0050459A" w:rsidP="00FF01E9">
            <w:r w:rsidRPr="0062324D">
              <w:t>Из разницы</w:t>
            </w:r>
          </w:p>
        </w:tc>
      </w:tr>
    </w:tbl>
    <w:p w:rsidR="0050459A" w:rsidRPr="0062324D" w:rsidRDefault="0050459A" w:rsidP="0050459A">
      <w:pPr>
        <w:spacing w:before="120"/>
        <w:ind w:firstLine="567"/>
        <w:jc w:val="both"/>
      </w:pP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Самое существенное свойство соевой муки и крупки, определяющее их применение в промышленности, это их функциональность, т. е. возможность образовывать устойчивые водно-жировые эмульсии. Высокие эмульгирующие свойства соевой муки позволяют не только улучшить органолептические свойства и повысить питательную и биологическую ценность продукта, но также уменьшить потери продукта при термообработке. Нейтральный вкус и запах соевой муки с ее функциональностью делают ее сопоставимой по эффекту применения (конкурентоспособной) с функциональными соевыми концентратами и изолятами.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Разработанная в СКГМИ горизонтальная центробежная мельница, как показали предварительные эксперименты, может быть успешно использована для производства соевой муки.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Так, при проведении экспериментов выход класса –0,200 мм составил около 80 %, что уже сопоставимо с требованиями фирмы СARGILL B.V. Нами разработаны предложения по изменению конструкции мельницы для достижения еще большей тонкости помола путем создания максимально благоприятных условий для активного перетирания частиц между вращающимся ротором и неподвижным элементом корпуса.</w:t>
      </w:r>
    </w:p>
    <w:p w:rsidR="0050459A" w:rsidRPr="0062324D" w:rsidRDefault="0050459A" w:rsidP="0050459A">
      <w:pPr>
        <w:spacing w:before="120"/>
        <w:jc w:val="center"/>
        <w:rPr>
          <w:b/>
          <w:sz w:val="28"/>
        </w:rPr>
      </w:pPr>
      <w:r w:rsidRPr="0062324D">
        <w:rPr>
          <w:b/>
          <w:sz w:val="28"/>
        </w:rPr>
        <w:t>Список литературы</w:t>
      </w:r>
    </w:p>
    <w:p w:rsidR="0050459A" w:rsidRPr="0062324D" w:rsidRDefault="0050459A" w:rsidP="0050459A">
      <w:pPr>
        <w:spacing w:before="120"/>
        <w:ind w:firstLine="567"/>
        <w:jc w:val="both"/>
      </w:pPr>
      <w:r w:rsidRPr="0062324D">
        <w:t>Енкен В.Б. Соя, М., 1959.</w:t>
      </w:r>
    </w:p>
    <w:p w:rsidR="0050459A" w:rsidRDefault="0050459A" w:rsidP="0050459A">
      <w:pPr>
        <w:spacing w:before="120"/>
        <w:ind w:firstLine="567"/>
        <w:jc w:val="both"/>
      </w:pPr>
      <w:r w:rsidRPr="0062324D">
        <w:t>Гордиенко В.А., Либерштейн И.И. Кладовая белка. М., 1969.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9A"/>
    <w:rsid w:val="003C36B9"/>
    <w:rsid w:val="0050459A"/>
    <w:rsid w:val="0062324D"/>
    <w:rsid w:val="00811DD4"/>
    <w:rsid w:val="00CD4305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179BCD-D968-43E7-AB54-80B5712A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459A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50459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3768</Characters>
  <Application>Microsoft Office Word</Application>
  <DocSecurity>0</DocSecurity>
  <Lines>31</Lines>
  <Paragraphs>8</Paragraphs>
  <ScaleCrop>false</ScaleCrop>
  <Company>Home</Company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соевой муки</dc:title>
  <dc:subject/>
  <dc:creator>User</dc:creator>
  <cp:keywords/>
  <dc:description/>
  <cp:lastModifiedBy>admin</cp:lastModifiedBy>
  <cp:revision>2</cp:revision>
  <dcterms:created xsi:type="dcterms:W3CDTF">2014-02-20T02:02:00Z</dcterms:created>
  <dcterms:modified xsi:type="dcterms:W3CDTF">2014-02-20T02:02:00Z</dcterms:modified>
</cp:coreProperties>
</file>