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2E8" w:rsidRPr="008A2ACE" w:rsidRDefault="001C22E8" w:rsidP="001C22E8">
      <w:pPr>
        <w:spacing w:before="120"/>
        <w:jc w:val="center"/>
        <w:rPr>
          <w:b/>
          <w:bCs/>
          <w:sz w:val="32"/>
          <w:szCs w:val="32"/>
        </w:rPr>
      </w:pPr>
      <w:r w:rsidRPr="008A2ACE">
        <w:rPr>
          <w:b/>
          <w:bCs/>
          <w:sz w:val="32"/>
          <w:szCs w:val="32"/>
        </w:rPr>
        <w:t>Речевое воздействие в аспекте когнитивных категорий</w:t>
      </w:r>
    </w:p>
    <w:p w:rsidR="001C22E8" w:rsidRPr="008A2ACE" w:rsidRDefault="001C22E8" w:rsidP="001C22E8">
      <w:pPr>
        <w:spacing w:before="120"/>
        <w:jc w:val="center"/>
        <w:rPr>
          <w:sz w:val="28"/>
          <w:szCs w:val="28"/>
        </w:rPr>
      </w:pPr>
      <w:r w:rsidRPr="008A2ACE">
        <w:rPr>
          <w:sz w:val="28"/>
          <w:szCs w:val="28"/>
        </w:rPr>
        <w:t>О.С. Иссерс, Омский государственный университет, кафедра общего языкознания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...Люди не просто лгут, - они интерпретируют</w:t>
      </w:r>
      <w:r>
        <w:t xml:space="preserve"> </w:t>
      </w:r>
      <w:r w:rsidRPr="008A2ACE">
        <w:t>социальную действительность.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Т. ван Дейк. Язык, познание, коммуникация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Вопрос о сущности речевого воздействия трудно отнести к числу малоразработанных: вероятно, отсчет следует вести от античных времен и аристотелевской концепции риторики. Традиция изучения ораторской речи, имеющая многовековую историю, претерпела значительные изменения во второй половине XX века: классический подход к изучению ораторских текстов (при котором чаще всего объектом исследования являлось судебное красноречие) был значительно расширен за счет идей, почерпнутых из смежных дисциплин: социологии, психологии, кибернетики, политологии.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Основным стимулом интенсификации исследований в области речевого воздействия в настоящее время являются прагматические задачи. В общем виде их можно обозначить как проблему оптимизации речевого воздействия. Актуальность этой проблемы не требует специальных доказательств ввиду ее очевидности: даже беглый взгляд на книжный прилавок, где непременно присутствует несколько бестселлеров - руководств по коммуникации и речевому воздействию на собеседника (Д. Карнеги, Э. Шостром, Э. Берн и т.д.), может служить аргументом в пользу того, что социальный заказ существует.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Феномен речевого воздействия представляет собой многообразное явление, поэтому описание тех или иных его аспектов предполагает экспликацию очерченных самим автором ограничений в проблематике.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Когнитивные категории базового уровня как инструмент речевого воздействия.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Речевое воздействие (в широком смысле) можно отождествить с процессом речевого общения, взятом в аспекте его целенаправленности. Научные исследования показывают, что в любом акте речевого общения коммуниканты преследуют определенные неречевые цели, которые в итоге влияют на деятельность собеседника [5, 6, 17]. Так, например, Р.Блакар утверждал, что выразиться "нейтрально" невозможно, поскольку даже неформальный разговор предполагает "осуществление власти", то есть воздействие на восприятие и структурирование мира другим человеком [5, c.91].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Наша задача состоит в том, чтобы рассмотреть речевое воздействие в аспекте когнитивных категорий. С этой точки зрения речевое воздействие может быть описано как "совокупность процедур над моделями мира участников ситуации общения, приводящих к передаче знаний от одного участника к другому" [1, c.11].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Модель мира представляет собой определенным образом организованные знания о мире, свойственные когнитивной системе или ее модели [4, c.146]. С одной стороны, в модель мира входят общие знания о мире, которые можно считать "объективными". Речь идет о простых пропозициях типа "снег весной тает", специальных фактах вроде "Волга впадает в Каспийское море" или правилах продукций ("Если холодно, то нужно тепло одеваться"). С другой стороны, в модели мира присутствуют и знания другого типа, которые условно можно назвать "субъективными". Это ценности и их иерархии, семантические конструкты типа "норма", "каузирование" и другие когнитивные структуры, обобщающие опыт индивида и социума.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Эти когнитивные структуры, или когнитивные категории, существуют на так называемом базовом уровне категоризации. В исследованиях Э.Рош [18] понятие базового уровня категоризации в иерархии категорий относится к промежуточному между самым высоким (суперординатным) и нижним (субординатным). Речь идет о том, что в своей каждодневной жизни человек руководствуется подвижными, гибкими и простыми естественными категориями, сформированными на "среднем" уровне абстракции. В концептах и названиях этого уровня обычно соединяются перцептуальные и функциональные характеристики объектов, то есть сам уровень обладает не только лингвистической, но и когнитивной значимостью. Это объясняется тем, что "категоризация связана с членением внешнего и внутреннего мира человека в соответствии с сущностными характеристиками его функционирования и бытия" [12, c. 44]. Изучение познавательной деятельности человека показывает, что базовый уровень является центральным для многих видов когнитивной деятельности. А поскольку речевое воздействие непосредственно связано с социальными интеракциями, нас в первую очередь будут интересовать категории, относящиеся к социальной когниции.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Образование категорий связано с формированием когнитивных концептов и их устойчивых объединений. Это стандартный путь переработки поступающей информации. Примером могут служить концепты, которые формируются в процессе речевого общения. Каждый из коммуникантов в определенной речевой ситуации стоит перед необходимостью ответить на вопросы: "Кто он? Кто я? Каково его отношение ко мне и остальным? Как он воспринимает меня?". На основе ответов на эти вопросы формируется концепт "Я" (образ Автора), концепт "Он" (образ Адресата) и ряд других.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Наше предположение заключается в том, что среди прочих категорий базового уровня существуют специфические когнитивные категории, регулярно представленные в текстах, где речевое воздействие планируется (то есть осознается говорящим как иллокутивная задача). Особенностями этих категорий (назовем их РВ-категориями, или персуазивными) являются их регулярность и универсальность: они обнаруживаются в персуазивном дискурсе, который представляет различные коммуникативные сферы (политику, бизнес - в особенности рекламу, частную жизнь). Ниже в качестве примера мы рассмотрим категорию "свой круг" (название дано в значительной степени условно, но оно отражает реалии обыденного сознания), которая базируется на двух противопоставленных концептах - "свои" и "чужие".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Семантические сети как модель организации знаний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Отношения между концептами могут быть описаны через понятие семантичесих сетей, где точками пересечения (узлами) являются определенные концепты [12, с.169]. Простейшие типы концептуальных зависимостей в семантических сетях имеют следующий вид: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А есть В (А представляет собой В);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А имеет В;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А имеет отношение к В ( А связано с В).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Семантические сети как модель организации знаний несколько упрощенно представляют семантические отношения, которые имеют место в естественных когнитивных процессах, однако задачи речевого воздействия как раз и требуют, чтобы на некоторые речевые стимулы человек реагировал молниеносно и однозначно. А для этого необходимо, чтобы доступ к подобным знаниям был несложен. Как известно, некоторые концепты в памяти человека явно ассоциируются с другими (кислый... лимон, фрукт...яблоко). Именно такие прогнозируемые ассоциации планируется продуцировать путем установления семантических зависимостей между концептами в процессе персуазивной коммуникации.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Если рассматривать концептуальные зависимости в пределах определенной категории как узлы семантической сети, то речевое воздействие можно определить как операции над семантическими сетями (разрыв ассоциативных связей и установление новых). Два основных типа процедур: установление новых ассоциаций и разрыв старых - могут быть конкретизированы через процедуры низшего порядка. Так, например, установление новых ассоциаций может осуществляться как: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непосредственное отождествление (А есть В);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сближение по свойствам, или "фамильное сходство" (А имеет, обладает В);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отождествление по отдельному признаку (А имеет отношение к В);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сближение по нетипичным признакам (А имеет отношение к В, хотя это и не очевидно).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Разрыв ассоциативных зависимостей может быть описан через симметрично противопоставленные процедуры: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непосредственное отрицание тождества (А не есть В);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отрицание тождества через отрицание общих свойств (А не имеет, не обладает В);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отрицание тождества по отдельному признаку (А не связан с В);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разъединение по нетипичным признакам (А не связан на самом деле с В, хотя это и не очевидно).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Прототипический подход в описании персуазивных категорий.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Для анализа категорий речевого воздействия целесообразно использовать сформированное в когнитивной науке понятие прототипа. Оно основано на том, что "категории языка не всегда, а возможно, и редко определяются в терминах одной или нескольких отличительных особенностей, необходимых и достаточных в качестве критерия именования" [12, с.140-145]. Скорее они (категории) формируются на основе пересечения некоторого числа характерных "свойств - признаков", при этом прототипом является единица, проявляющая эти свойства в наибольшей степени. "Прототип - это лучший образец категории". Прототипический подход позволяет допустить, что все члены категории в зависимости от наличия/отсутствия характерных свойств могут быть в большей или меньшей степени близки к прототипу. Использование понятия прототипа позволяет проследить процесс формирования персуазивных категорий "от простого к сложному", от типичных случаев - через усложнения - к маргинальным. В этом аспекте представленные выше операции над семантическими зависимостями выстроены по принципу "отдаления" от прототипа: отождествление представляет собой наиболее стандартный, эталонный способ (он быстрее опознается, чаще употребляется, ускоряет решение разнообразных задач, связанных с идентификацией), а сближение по нетипичным признакам - в какой-то степени аномальный, парадоксальный. Для категории "свой круг", о которой речь пойдет ниже, первый можно проиллюстрировать фразами типа "Он враг", "Он свой человек", а второй - "Наш человек, собираясь на курорт, кладет в чемодан деловой костюм и галстук", "Наши люди в булочную на такси не ездят" (реплика управдома в кинофильме "Бриллиантовая рука").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1.  Базовые категории персуазивного дискурса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Категория "свой круг"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Структурирование социума путем построения оппозиции "свои" - "чужие" имеет давние социокультурные традиции.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Политическая ситуация конца 80-х - начала 90-х годов в России способствовала актуализации этой семантической оппозиции. В этом смысле символично, что репортаж известного тележурналиста А. Невзорова о событиях в Вильнюсе в 1991 году был назван "Наши" (номинация относилась к советскому ОМОНу, жертвами которого стали жители литовской столицы). Наблюдения показывают, что семиотическая категория "свой круг" является одной из базовых когнитивных категорий в политическом дискурсе [2, 11]. Продуктивность этой категории объясняется ее гибкостью, удобством и простотой в плане манипуляции сознанием: автор каждый раз заново очерчивает "свой круг", отделяя "своих", "наших" от "чужих".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Основными концептами этой категории являются дихотомически противопоставленные единицы "свой" - "чужой". В этой системе координат устанавливаются отношения между "я" говорящего, собеседником (-ами) и третьими лицами. Рассмотрим основные типы ассоциативных зависимостей в рамках категории "свой круг". В качестве материала использованы интервью с Юрием Лужковым ("Комсомольская правда", 26 ноября 1997г.) и статья О. Кучкиной "Рыжий" ("Комсомольская правда", 22 ноября 1997 г.). В обоих случаях в центре находится фигура бывшего вице-премьера - А. Чубайса.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1. Отождествление, или идентификация, строится по модели "А есть (представляет собой) В". Осуществляется через прямую номинацию; разграничение "своих" и "чужих" происходит на основе символов Добра и Зла, соответствующих модели мира говорящего (о символах Добра и Зла см., например: [17, c.143-147]).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Вначале мы с ним были союзниками. Я поддерживал его инициативы, связанные с приватизацией. Но </w:t>
      </w:r>
      <w:r w:rsidRPr="008A2ACE">
        <w:t></w:t>
      </w:r>
      <w:r w:rsidRPr="008A2ACE">
        <w:t>...</w:t>
      </w:r>
      <w:r w:rsidRPr="008A2ACE">
        <w:t></w:t>
      </w:r>
      <w:r w:rsidRPr="008A2ACE">
        <w:t></w:t>
      </w:r>
      <w:r w:rsidRPr="008A2ACE">
        <w:t xml:space="preserve">приватизация, проводимая господином Чубайсом, преследовала не экономические, а политические цели. ...И тогда я ему сказал: "Отныне вы - мой идейный враг". Мы с Чубайсом - полные антиподы. (Лужков)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В стране, где порядочный человек (т.е. Чубайс. - О.И.) уже (еще) редкость, воры, указывая на него, кричат: держи вора! (Кучкина)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Реформаторы (Чубайс) провели приватизацию: бездарная система всеобщей безответственности за общее хозяйство стала преображаться в систему личной ответственности за частное хозяйство. (Кучкина)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Кроме непосредственного обозначения главного героя как врага или как порядочного человека, "реформатора" (в последнем контексте наводится сема положительной оценки), в обоих примерах можно наблюдать способ моделирования образа через отношение к приватизации. В зависимости от интерпретации этого процесса в категориях Добра (Кучкина) либо Зла (Лужков), объект идентифицируется как "свой" либо "чужой".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2. Сближение по свойствам, или атрибуция, базируется на модели "А имеет, обладает свойством В". Через указание на признаки, присущие объекту, устанавливается его "фамильное сходство" с концептами "свой" - "чужой". В теории прототипов принимается, что категории языка формируются ( в рамках континуума) как пересечения некоторого числа характерных или типичных свойств-признаков, коррелирующих с уместностью наименования соответствующих предметов. Естественно, что представления о "характерных" свойствах и уместности наименования в персуазивном дискурсе идеологически нагружены и определяются сложившимися идеологемами [13].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Данный способ установления ассоциативных зависимостей обладает большой убеждающей силой, поскольку семантический вывод об идентификации объекта подается имплицитно (его' доверено сделать самому адресату), а всякое знание, "добытое собственными интеллектуальными усилиями", осознается как свое, личное ("приватизация знаний", по Баранову).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Безусловно, сам персонаж является абсолютным раздражителем. ...Между ними (Чубайсом и Березовским) дружбы, мягко выражаясь, не было, шла острейшая и во многом беспринципная борьба за влияние на государственную власть. ...Я имею в виду полное пренебрежение той реакцией, которую они (Чубайс и другие "писатели") прогнозировали от общества. ...Не последовало реакции на мощные заработки Чубайса, которые он получил за 4 месяца... Последовало новое хамство. ...Чубайс, совершенно не зная реальной экономики, не имея опыта в организации производства, не мог не стать монетаристом. Я же практик. ...Чубайс - радикал. Его мышление полярно. Он то открывает крышку гроба, то забивает в нее последние гвозди... Я - приверженец движения по этапам, шагами, а не революционными радикальными скачками. (Лужков)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Итак, Чубайс в интерпретации Ю. Лужкова обладает следующими признаками: он "раздражитель", участник беспринципной борьбы за власть, "писатель", пренебрегающей общественной реакцией (мнением большинства!), рвач ("мощные заработки" за короткий срок), хам, неопытный теоретик-монетарист, радикал, приверженец революционных скачков, гробовщик, собирающийся похоронить Россию (развернутый метафорический образ). По сумме признаков личность Чубайса близка к классическому прототипу "образа врага".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В интерпретации О. Кучкиной бывшему вице-премьеру приписываются следующие свойства-признаки.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Интересно, зависит ли от цвета волос, кожи и наличия веснушек наличие выдающегося ума и таланта? Рыжие с веснушками - Бродский, Плисецкая, Чубайс. ...Да ведь и вышел не на балетную сцену - </w:t>
      </w:r>
      <w:r w:rsidRPr="008A2ACE">
        <w:t></w:t>
      </w:r>
      <w:r w:rsidRPr="008A2ACE">
        <w:t>...</w:t>
      </w:r>
      <w:r w:rsidRPr="008A2ACE">
        <w:t></w:t>
      </w:r>
      <w:r w:rsidRPr="008A2ACE">
        <w:t></w:t>
      </w:r>
      <w:r w:rsidRPr="008A2ACE">
        <w:t xml:space="preserve">на самый верх политики. Горе - уму. Чубайс один такой сегодня - во благо стране и ее населению.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По совокупности положительно оцениваемых признаков (выдающийся ум и талант, уникальная значимость для блага страны и ее населения) Чубайс неминуемо должен быть опознан как "свой".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Атрибуция признаков, идентифицирующих объект как "свой" либо "чужой", может устанавливаться через констатацию подобия с некоторым объектом, указание на общие с ним свойства (в случае, если целью является разрыв ассоциативных зависимостей, - отрицание общих свойств). При этом координирующей точкой является объект, связь которого с прототипом ("свой" или "чужой") принимается как известное, данное.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Рыжие с веснушками - Бродский, Плисецкая, Чубайс. Нескромные. Нерядовые... (Кучкина)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То, что сделали Чубайс и другие "писатели", это попросту вульгарно. ...У Чубайса большевистский подход: до основания все разрушить, а затем... (Лужков)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Таким образом, "свой" Чубайс находится в одной шеренге с гениальными Бродским и Плисецкой, а "чужой" - в группе "писателей" (кавычки сигнализируют об отрицательной коннотации) и большевиков-разрушителей.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Приемы установления ассоциативных связей на основе подобия необычайно продуктивны в персуазивном дискурсе, в частности в стратегии дискредитации, где они реализутся в специфических речевых тактиках [3, 8, 9].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3. Стереотипизация - один из важнейших приемов речевого воздействия. С точки зрения когнитивных процессов стереотипы формируются на основе ассоциативных связей по модели "А имеет отношение к В", где В - один из прототипических концептов или концепт, опосредованно связанный с прототипом как символ Добра либо Зла.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Это - кризис команды Чубайса. (Лужков)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Кризис - 'тяжелое переходное состояние какого-либо социального института, сферы общества', отрицательное явление, Зло; испытывать кризис - это свойство "чужих", не "наших".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Он (Чубайс) не раздражает только своего союзника Гайдара и небольшую кучку людей. (Лужков)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Егор Гайдар - символ непопулярной экономической политики начала 90-х годов, "кучка людей" противостоит здравомыслящему и моральному "большинству", олицетворяющему Народ, следовательно, иметь отношение к Гайдару и "кучке людей" - значит быть "чужим".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Реформаторы (Чубайс) </w:t>
      </w:r>
      <w:r w:rsidRPr="008A2ACE">
        <w:t></w:t>
      </w:r>
      <w:r w:rsidRPr="008A2ACE">
        <w:t>...</w:t>
      </w:r>
      <w:r w:rsidRPr="008A2ACE">
        <w:t></w:t>
      </w:r>
      <w:r w:rsidRPr="008A2ACE">
        <w:t></w:t>
      </w:r>
      <w:r w:rsidRPr="008A2ACE">
        <w:t xml:space="preserve">стабилизировали родной многострадальный рубль. Создали рынок ценных бумаг. То есть из уродливой и практически обрушившейся экономической системы сделали искомую рыночную. Откуда и начнет - уже начала - плясать новая помолодевшая страна, встающая с больничной койки! (Кучкина)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Образ выздоравливающей страны - символ Добра, понятный большинству. И хотя концепт 'рынка' имеет неоднозначную интерпретацию в идеологически заостренных текстах, противопоставление "искомой" рыночной системе и прежнего уклада указывает на полюс положительной оценки, формируя стереотипические зависимости.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4. Установление ассоциативных связей (часто по второстепенному, несущественному признаку) лежит в основе техники, которая известна как прием "навешивания ярлыков" [9, 16]. Ярлык - один из распространенных аргументов в нечестной полемике [14]. В основу наименования по принципу ярлыка кладется какой-нибудь частный признак объекта. Так, например, молодые реформаторы в российском правительстве называются то "выпускниками Кембриджа" (прозападная ориентация - признак "чужих''), то "мальчиками в розовых штанишках" (не соответствующая их положению молодость и сопутствующая ей незрелость мышления имплицитно противопоставлена мудрости "стариков"). Основой ярлыка может стать и звуковая форма слова (прием паронимической аттракции: демократы - дерьмократы, приватизатор - прихватизатор) [11].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Речевое воздействие, рассматриваемое в аспекте когнитивных процессов, связано не только с установлением желательных ассоциаций, но и с блокировкой нежелательных. Последняя осуществляется по моделям: 1) "А не есть В"; 2) "А не имеет В"; 3) "А не имеет отношения к В"; 4) "А имеет лишь частичное (некоторое) отношение к В" - то есть здесь имеют место процессы, по своей цели противоположные отождествлению, атрибуции, стереотипизации и навешиванию ярлыков. Сравним высказывания Ю. Лужкова: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Черномырдин и Чубайс - мало совпадающие персоны. (1)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Мы с Чубайсом единомышленники разве что в стратегии рыночных преобразований. (4)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Мне искренне жаль </w:t>
      </w:r>
      <w:r w:rsidRPr="008A2ACE">
        <w:t></w:t>
      </w:r>
      <w:r w:rsidRPr="008A2ACE">
        <w:t>...</w:t>
      </w:r>
      <w:r w:rsidRPr="008A2ACE">
        <w:t></w:t>
      </w:r>
      <w:r w:rsidRPr="008A2ACE">
        <w:t></w:t>
      </w:r>
      <w:r w:rsidRPr="008A2ACE">
        <w:t xml:space="preserve">Казакова. Думаю, он случайно попал в этот коллектив. (3) - и мнение О. Кучкиной: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Жалко, что он (Чубайс) вдруг повел себя так, будто виноват... До суда нельзя было поддаваться на шантаж и подлянку... (2)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Жалко, что мы страдаем, что у нас нет и близко возможности похожих гонораров. Но ведь у нас и похожей - безумной по сложности - работы нет. (1) 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 xml:space="preserve">Ах, Чубайс, Чубайс! Лучше б вы сжевали бумагу, на которой писали тексты. Впрочем, не будь книги, накопали бы что-нибудь другое. (4) </w:t>
      </w:r>
    </w:p>
    <w:p w:rsidR="001C22E8" w:rsidRDefault="001C22E8" w:rsidP="001C22E8">
      <w:pPr>
        <w:spacing w:before="120"/>
        <w:ind w:firstLine="567"/>
        <w:jc w:val="both"/>
      </w:pPr>
      <w:r w:rsidRPr="008A2ACE">
        <w:t xml:space="preserve">Рассмотренные нами типы ассоциативных зависимостей используются для эффективного манипулирования умозаключениями реципиента. Основанием для подобных манипуляций являются когнитивные категории базового уровня, например такая, как категория "свой круг". В качестве иллюстрации были избраны фрагменты политического дискурса, но не менее яркими могут быть примеры из языка рекламы или повседневной, обыденной речи. В условиях социального взаимодействия категории этого уровня реализуются в рамках речевых стратегий и тактик, что является предметом отдельного исследования [7, 10, 15]. </w:t>
      </w:r>
    </w:p>
    <w:p w:rsidR="001C22E8" w:rsidRPr="008A2ACE" w:rsidRDefault="001C22E8" w:rsidP="001C22E8">
      <w:pPr>
        <w:spacing w:before="120"/>
        <w:jc w:val="center"/>
        <w:rPr>
          <w:b/>
          <w:bCs/>
          <w:sz w:val="28"/>
          <w:szCs w:val="28"/>
        </w:rPr>
      </w:pPr>
      <w:r w:rsidRPr="008A2ACE">
        <w:rPr>
          <w:b/>
          <w:bCs/>
          <w:sz w:val="28"/>
          <w:szCs w:val="28"/>
        </w:rPr>
        <w:t>Список литературы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Баранов А.Н. Лингвистическая теория аргументации (когнитивный подход): Автореф. дис.... докт. филол. наук М., 1990.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Баранов А.Н., Казакевич Е.Г. Парламентские дебаты: традиции и новации // Новое в жизни, науке и технике. 1991. N 10.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Баранов А.Н., Караулов Ю.Н. Словарь русских политических метафор. М., 1994.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Баранов А.Н., Паршин П.Б. К построению словаря терминов когнитивной науки // Когнитивные исследования за рубежом: Методы искусственного интеллекта. М., 1990. C.139-149.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Блакар Р.М. Язык как инструмент социальной власти // Язык и моделирование социального взаимодействия. М., 1987. C.88-125.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Ван Дейк, Т.А. Язык, познание, коммуникация. М., 1989.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Верещагин Е.М., Ротмайр Р., Ройтер Т. Речевые тактики "призыва к откровенности" // Вопросы языкознания. 1992. N 6.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Иссерс О.С. "Паша - "Мерседес", или речевая стратегия дискредитации // Вестник Омского университета. 1997. N 2. C.51-54. [1997 а].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Иссерс О.С. "Посмотрите, на кого он похож!" //Вестник Омского университета. 1997. N 3. С.81-84. [1997 б].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Иссерс О.С. Что говорят политики, чтобы нравиться своему народу //Вестник Омского университета. 1996. N 1. C.71-74.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Китайгородская М.В., Розанова Н.Н. "Свое" - "Чужое" в коммуникативном пространстве митинга. // Русистика сегодня. 1995. N I. C.93-116.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Кубрякова Е.С., Демьянков B.C., Панкрац Ю.Г., Лузина Л.Г. Краткий словарь когнитивных терминов. М., 1996.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Купина Н.А. Тоталитарный язык: Словарь и речевые реализации. Екатеринбург - Пермь, 1995.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Поварнин С. Спор: О теории и практике спора. // Вопр. философии. 1990. N 2.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Рытникова Я. Т. Семейная беседа: обоснование и риторическая интерпретация жанра: Автореф. дис. ... канд. филол. наук. Екатеринбург, 1996.</w:t>
      </w:r>
    </w:p>
    <w:p w:rsidR="001C22E8" w:rsidRPr="008A2ACE" w:rsidRDefault="001C22E8" w:rsidP="001C22E8">
      <w:pPr>
        <w:spacing w:before="120"/>
        <w:ind w:firstLine="567"/>
        <w:jc w:val="both"/>
      </w:pPr>
      <w:r w:rsidRPr="008A2ACE">
        <w:t>Теория и практика полемики. Томск, 1989.</w:t>
      </w:r>
    </w:p>
    <w:p w:rsidR="001C22E8" w:rsidRPr="008A2ACE" w:rsidRDefault="001C22E8" w:rsidP="001C22E8">
      <w:pPr>
        <w:spacing w:before="120"/>
        <w:ind w:firstLine="567"/>
        <w:jc w:val="both"/>
        <w:rPr>
          <w:lang w:val="en-US"/>
        </w:rPr>
      </w:pPr>
      <w:r w:rsidRPr="008A2ACE">
        <w:rPr>
          <w:lang w:val="en-US"/>
        </w:rPr>
        <w:t>Larson Ch. U. Persuasion: reception and responsibility. Wadsnorth Publishing Company. Belmont, Ca 1995.</w:t>
      </w:r>
    </w:p>
    <w:p w:rsidR="001C22E8" w:rsidRPr="008A2ACE" w:rsidRDefault="001C22E8" w:rsidP="001C22E8">
      <w:pPr>
        <w:spacing w:before="120"/>
        <w:ind w:firstLine="567"/>
        <w:jc w:val="both"/>
        <w:rPr>
          <w:lang w:val="en-US"/>
        </w:rPr>
      </w:pPr>
      <w:r w:rsidRPr="008A2ACE">
        <w:rPr>
          <w:lang w:val="en-US"/>
        </w:rPr>
        <w:t>Rosh E.H. Human categorization // Advances in cross-cultural psychology. L., 1975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2E8"/>
    <w:rsid w:val="00095BA6"/>
    <w:rsid w:val="00157C1B"/>
    <w:rsid w:val="001C22E8"/>
    <w:rsid w:val="0031418A"/>
    <w:rsid w:val="005A2562"/>
    <w:rsid w:val="008A0A4A"/>
    <w:rsid w:val="008A2ACE"/>
    <w:rsid w:val="00A44D32"/>
    <w:rsid w:val="00D92D1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277DBE5-76F2-4565-9895-3E943967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2E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C2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3287</Words>
  <Characters>18739</Characters>
  <Application>Microsoft Office Word</Application>
  <DocSecurity>0</DocSecurity>
  <Lines>156</Lines>
  <Paragraphs>43</Paragraphs>
  <ScaleCrop>false</ScaleCrop>
  <Company>Home</Company>
  <LinksUpToDate>false</LinksUpToDate>
  <CharactersWithSpaces>21983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Речевое воздействие в аспекте когнитивных категорий</dc:title>
  <dc:subject/>
  <dc:creator>Alena</dc:creator>
  <cp:keywords/>
  <dc:description/>
  <cp:lastModifiedBy>admin</cp:lastModifiedBy>
  <cp:revision>2</cp:revision>
  <dcterms:created xsi:type="dcterms:W3CDTF">2014-02-16T15:06:00Z</dcterms:created>
  <dcterms:modified xsi:type="dcterms:W3CDTF">2014-02-16T15:06:00Z</dcterms:modified>
</cp:coreProperties>
</file>